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94556" w:rsidRPr="001346CC">
        <w:trPr>
          <w:jc w:val="center"/>
        </w:trPr>
        <w:tc>
          <w:tcPr>
            <w:tcW w:w="743" w:type="dxa"/>
          </w:tcPr>
          <w:p w:rsidR="00694556" w:rsidRPr="001346CC" w:rsidRDefault="001346CC" w:rsidP="001346CC">
            <w:pPr>
              <w:bidi w:val="0"/>
              <w:jc w:val="both"/>
              <w:rPr>
                <w:rFonts w:ascii="Arial" w:hAnsi="Arial"/>
                <w:b/>
                <w:bCs/>
                <w:sz w:val="26"/>
                <w:szCs w:val="26"/>
              </w:rPr>
            </w:pPr>
            <w:bookmarkStart w:id="0" w:name="_GoBack"/>
            <w:bookmarkEnd w:id="0"/>
            <w:r>
              <w:rPr>
                <w:rFonts w:ascii="Arial" w:hAnsi="Arial" w:hint="cs"/>
                <w:b/>
                <w:bCs/>
                <w:sz w:val="26"/>
                <w:szCs w:val="26"/>
                <w:rtl/>
              </w:rPr>
              <w:t>ל</w:t>
            </w:r>
            <w:r w:rsidR="00005C8B" w:rsidRPr="001346CC">
              <w:rPr>
                <w:rFonts w:ascii="Arial" w:hAnsi="Arial"/>
                <w:b/>
                <w:bCs/>
                <w:sz w:val="26"/>
                <w:szCs w:val="26"/>
                <w:rtl/>
              </w:rPr>
              <w:t xml:space="preserve">פני </w:t>
            </w:r>
          </w:p>
        </w:tc>
        <w:tc>
          <w:tcPr>
            <w:tcW w:w="8077" w:type="dxa"/>
            <w:gridSpan w:val="2"/>
          </w:tcPr>
          <w:p w:rsidR="00694556" w:rsidRDefault="00116E4D" w:rsidP="001346CC">
            <w:pPr>
              <w:rPr>
                <w:rFonts w:ascii="Arial" w:hAnsi="Arial" w:cs="FrankRuehl"/>
                <w:sz w:val="26"/>
                <w:szCs w:val="26"/>
                <w:highlight w:val="yellow"/>
                <w:rtl/>
              </w:rPr>
            </w:pPr>
            <w:r>
              <w:rPr>
                <w:rFonts w:ascii="Arial" w:hAnsi="Arial"/>
                <w:b/>
                <w:bCs/>
                <w:sz w:val="26"/>
                <w:szCs w:val="26"/>
                <w:rtl/>
              </w:rPr>
              <w:t>כב' השופט שאול שוחט, סגן נשיא</w:t>
            </w:r>
          </w:p>
          <w:p w:rsidR="00116E4D" w:rsidRPr="001346CC" w:rsidRDefault="00116E4D" w:rsidP="001346CC">
            <w:pPr>
              <w:rPr>
                <w:rFonts w:ascii="Arial" w:hAnsi="Arial" w:cs="FrankRuehl"/>
                <w:sz w:val="26"/>
                <w:szCs w:val="26"/>
                <w:highlight w:val="yellow"/>
              </w:rPr>
            </w:pPr>
          </w:p>
        </w:tc>
      </w:tr>
      <w:tr w:rsidR="00694556" w:rsidRPr="001346CC">
        <w:trPr>
          <w:jc w:val="center"/>
        </w:trPr>
        <w:tc>
          <w:tcPr>
            <w:tcW w:w="3249" w:type="dxa"/>
            <w:gridSpan w:val="2"/>
          </w:tcPr>
          <w:p w:rsidR="00694556" w:rsidRPr="001346CC" w:rsidRDefault="00694556">
            <w:pPr>
              <w:bidi w:val="0"/>
              <w:jc w:val="right"/>
              <w:rPr>
                <w:rFonts w:ascii="Arial" w:hAnsi="Arial"/>
                <w:b/>
                <w:bCs/>
                <w:noProof w:val="0"/>
                <w:sz w:val="26"/>
                <w:szCs w:val="26"/>
              </w:rPr>
            </w:pPr>
          </w:p>
          <w:sdt>
            <w:sdtPr>
              <w:rPr>
                <w:sz w:val="26"/>
                <w:szCs w:val="26"/>
              </w:rPr>
              <w:alias w:val="1180"/>
              <w:tag w:val="1180"/>
              <w:id w:val="-1623374073"/>
              <w:text w:multiLine="1"/>
            </w:sdtPr>
            <w:sdtEndPr/>
            <w:sdtContent>
              <w:p w:rsidR="00A42845" w:rsidRDefault="007E4E04">
                <w:pPr>
                  <w:bidi w:val="0"/>
                  <w:jc w:val="right"/>
                  <w:rPr>
                    <w:rFonts w:ascii="Arial" w:hAnsi="Arial"/>
                    <w:b/>
                    <w:bCs/>
                    <w:noProof w:val="0"/>
                    <w:sz w:val="26"/>
                    <w:szCs w:val="26"/>
                    <w:rtl/>
                  </w:rPr>
                </w:pPr>
                <w:r>
                  <w:rPr>
                    <w:rFonts w:ascii="Arial" w:hAnsi="Arial"/>
                    <w:b/>
                    <w:bCs/>
                    <w:noProof w:val="0"/>
                    <w:sz w:val="26"/>
                    <w:szCs w:val="26"/>
                    <w:rtl/>
                  </w:rPr>
                  <w:t>מבקשים</w:t>
                </w:r>
              </w:p>
            </w:sdtContent>
          </w:sdt>
        </w:tc>
        <w:tc>
          <w:tcPr>
            <w:tcW w:w="5571" w:type="dxa"/>
          </w:tcPr>
          <w:p w:rsidR="00694556" w:rsidRPr="001346CC" w:rsidRDefault="00694556">
            <w:pPr>
              <w:rPr>
                <w:rFonts w:ascii="Arial" w:hAnsi="Arial"/>
                <w:b/>
                <w:bCs/>
                <w:noProof w:val="0"/>
                <w:sz w:val="26"/>
                <w:szCs w:val="26"/>
                <w:rtl/>
              </w:rPr>
            </w:pPr>
          </w:p>
          <w:p w:rsidR="003506A5" w:rsidRDefault="005F5BFF" w:rsidP="00C848D9">
            <w:pPr>
              <w:rPr>
                <w:sz w:val="26"/>
                <w:szCs w:val="26"/>
                <w:rtl/>
              </w:rPr>
            </w:pPr>
            <w:sdt>
              <w:sdtPr>
                <w:rPr>
                  <w:sz w:val="26"/>
                  <w:szCs w:val="26"/>
                  <w:rtl/>
                </w:rPr>
                <w:alias w:val="1462"/>
                <w:tag w:val="1462"/>
                <w:id w:val="857781928"/>
                <w:text w:multiLine="1"/>
              </w:sdtPr>
              <w:sdtEndPr/>
              <w:sdtContent>
                <w:r w:rsidR="00FB7194">
                  <w:rPr>
                    <w:rFonts w:ascii="Arial" w:hAnsi="Arial"/>
                    <w:b/>
                    <w:bCs/>
                    <w:noProof w:val="0"/>
                    <w:sz w:val="26"/>
                    <w:szCs w:val="26"/>
                    <w:rtl/>
                  </w:rPr>
                  <w:t>1</w:t>
                </w:r>
              </w:sdtContent>
            </w:sdt>
            <w:r w:rsidR="00C22D93" w:rsidRPr="001346CC">
              <w:rPr>
                <w:b/>
                <w:bCs/>
                <w:noProof w:val="0"/>
                <w:sz w:val="26"/>
                <w:szCs w:val="26"/>
                <w:rtl/>
              </w:rPr>
              <w:t>.</w:t>
            </w:r>
            <w:sdt>
              <w:sdtPr>
                <w:rPr>
                  <w:sz w:val="26"/>
                  <w:szCs w:val="26"/>
                  <w:rtl/>
                </w:rPr>
                <w:alias w:val="1478"/>
                <w:tag w:val="1478"/>
                <w:id w:val="-199099103"/>
                <w:text w:multiLine="1"/>
              </w:sdtPr>
              <w:sdtEndPr/>
              <w:sdtContent>
                <w:r w:rsidR="00C848D9">
                  <w:rPr>
                    <w:rFonts w:ascii="Arial" w:hAnsi="Arial" w:hint="cs"/>
                    <w:b/>
                    <w:bCs/>
                    <w:noProof w:val="0"/>
                    <w:sz w:val="26"/>
                    <w:szCs w:val="26"/>
                    <w:rtl/>
                  </w:rPr>
                  <w:t>עו"ד פלוני</w:t>
                </w:r>
              </w:sdtContent>
            </w:sdt>
          </w:p>
          <w:p w:rsidR="003506A5" w:rsidRDefault="005F5BFF" w:rsidP="00C848D9">
            <w:pPr>
              <w:rPr>
                <w:sz w:val="26"/>
                <w:szCs w:val="26"/>
                <w:rtl/>
              </w:rPr>
            </w:pPr>
            <w:sdt>
              <w:sdtPr>
                <w:rPr>
                  <w:sz w:val="26"/>
                  <w:szCs w:val="26"/>
                  <w:rtl/>
                </w:rPr>
                <w:alias w:val="1462"/>
                <w:tag w:val="1462"/>
                <w:id w:val="345369631"/>
                <w:text w:multiLine="1"/>
              </w:sdtPr>
              <w:sdtEndPr/>
              <w:sdtContent>
                <w:r w:rsidR="00FB7194">
                  <w:rPr>
                    <w:rFonts w:ascii="Arial" w:hAnsi="Arial"/>
                    <w:b/>
                    <w:bCs/>
                    <w:noProof w:val="0"/>
                    <w:sz w:val="26"/>
                    <w:szCs w:val="26"/>
                    <w:rtl/>
                  </w:rPr>
                  <w:t>2</w:t>
                </w:r>
              </w:sdtContent>
            </w:sdt>
            <w:r w:rsidR="00C22D93" w:rsidRPr="001346CC">
              <w:rPr>
                <w:b/>
                <w:bCs/>
                <w:noProof w:val="0"/>
                <w:sz w:val="26"/>
                <w:szCs w:val="26"/>
                <w:rtl/>
              </w:rPr>
              <w:t>.</w:t>
            </w:r>
            <w:sdt>
              <w:sdtPr>
                <w:rPr>
                  <w:sz w:val="26"/>
                  <w:szCs w:val="26"/>
                  <w:rtl/>
                </w:rPr>
                <w:alias w:val="1478"/>
                <w:tag w:val="1478"/>
                <w:id w:val="-2051218683"/>
                <w:text w:multiLine="1"/>
              </w:sdtPr>
              <w:sdtEndPr/>
              <w:sdtContent>
                <w:r w:rsidR="00C848D9">
                  <w:rPr>
                    <w:rFonts w:ascii="Arial" w:hAnsi="Arial" w:hint="cs"/>
                    <w:b/>
                    <w:bCs/>
                    <w:noProof w:val="0"/>
                    <w:sz w:val="26"/>
                    <w:szCs w:val="26"/>
                    <w:rtl/>
                  </w:rPr>
                  <w:t>פלונית</w:t>
                </w:r>
              </w:sdtContent>
            </w:sdt>
          </w:p>
          <w:p w:rsidR="003506A5" w:rsidRDefault="005F5BFF" w:rsidP="00C848D9">
            <w:pPr>
              <w:rPr>
                <w:sz w:val="26"/>
                <w:szCs w:val="26"/>
                <w:rtl/>
              </w:rPr>
            </w:pPr>
            <w:sdt>
              <w:sdtPr>
                <w:rPr>
                  <w:sz w:val="26"/>
                  <w:szCs w:val="26"/>
                  <w:rtl/>
                </w:rPr>
                <w:alias w:val="1462"/>
                <w:tag w:val="1462"/>
                <w:id w:val="-1526776114"/>
                <w:text w:multiLine="1"/>
              </w:sdtPr>
              <w:sdtEndPr/>
              <w:sdtContent>
                <w:r w:rsidR="00FB7194">
                  <w:rPr>
                    <w:rFonts w:ascii="Arial" w:hAnsi="Arial"/>
                    <w:b/>
                    <w:bCs/>
                    <w:noProof w:val="0"/>
                    <w:sz w:val="26"/>
                    <w:szCs w:val="26"/>
                    <w:rtl/>
                  </w:rPr>
                  <w:t>3</w:t>
                </w:r>
              </w:sdtContent>
            </w:sdt>
            <w:r w:rsidR="00C22D93" w:rsidRPr="001346CC">
              <w:rPr>
                <w:b/>
                <w:bCs/>
                <w:noProof w:val="0"/>
                <w:sz w:val="26"/>
                <w:szCs w:val="26"/>
                <w:rtl/>
              </w:rPr>
              <w:t>.</w:t>
            </w:r>
            <w:sdt>
              <w:sdtPr>
                <w:rPr>
                  <w:sz w:val="26"/>
                  <w:szCs w:val="26"/>
                  <w:rtl/>
                </w:rPr>
                <w:alias w:val="1478"/>
                <w:tag w:val="1478"/>
                <w:id w:val="127519121"/>
                <w:text w:multiLine="1"/>
              </w:sdtPr>
              <w:sdtEndPr/>
              <w:sdtContent>
                <w:r w:rsidR="00C848D9">
                  <w:rPr>
                    <w:rFonts w:ascii="Arial" w:hAnsi="Arial" w:hint="cs"/>
                    <w:b/>
                    <w:bCs/>
                    <w:noProof w:val="0"/>
                    <w:sz w:val="26"/>
                    <w:szCs w:val="26"/>
                    <w:rtl/>
                  </w:rPr>
                  <w:t>אלמונית</w:t>
                </w:r>
              </w:sdtContent>
            </w:sdt>
          </w:p>
          <w:p w:rsidR="003506A5" w:rsidRDefault="005F5BFF" w:rsidP="00C848D9">
            <w:pPr>
              <w:rPr>
                <w:sz w:val="26"/>
                <w:szCs w:val="26"/>
                <w:rtl/>
              </w:rPr>
            </w:pPr>
            <w:sdt>
              <w:sdtPr>
                <w:rPr>
                  <w:sz w:val="26"/>
                  <w:szCs w:val="26"/>
                  <w:rtl/>
                </w:rPr>
                <w:alias w:val="1462"/>
                <w:tag w:val="1462"/>
                <w:id w:val="2010713158"/>
                <w:text w:multiLine="1"/>
              </w:sdtPr>
              <w:sdtEndPr/>
              <w:sdtContent>
                <w:r w:rsidR="00FB7194">
                  <w:rPr>
                    <w:rFonts w:ascii="Arial" w:hAnsi="Arial"/>
                    <w:b/>
                    <w:bCs/>
                    <w:noProof w:val="0"/>
                    <w:sz w:val="26"/>
                    <w:szCs w:val="26"/>
                    <w:rtl/>
                  </w:rPr>
                  <w:t>4</w:t>
                </w:r>
              </w:sdtContent>
            </w:sdt>
            <w:r w:rsidR="00C22D93" w:rsidRPr="001346CC">
              <w:rPr>
                <w:b/>
                <w:bCs/>
                <w:noProof w:val="0"/>
                <w:sz w:val="26"/>
                <w:szCs w:val="26"/>
                <w:rtl/>
              </w:rPr>
              <w:t>.</w:t>
            </w:r>
            <w:sdt>
              <w:sdtPr>
                <w:rPr>
                  <w:sz w:val="26"/>
                  <w:szCs w:val="26"/>
                  <w:rtl/>
                </w:rPr>
                <w:alias w:val="1478"/>
                <w:tag w:val="1478"/>
                <w:id w:val="445504680"/>
                <w:text w:multiLine="1"/>
              </w:sdtPr>
              <w:sdtEndPr/>
              <w:sdtContent>
                <w:r w:rsidR="00C848D9">
                  <w:rPr>
                    <w:rFonts w:ascii="Arial" w:hAnsi="Arial" w:hint="cs"/>
                    <w:b/>
                    <w:bCs/>
                    <w:noProof w:val="0"/>
                    <w:sz w:val="26"/>
                    <w:szCs w:val="26"/>
                    <w:rtl/>
                  </w:rPr>
                  <w:t>פלמונית</w:t>
                </w:r>
              </w:sdtContent>
            </w:sdt>
          </w:p>
          <w:p w:rsidR="00694556" w:rsidRDefault="00C848D9">
            <w:pPr>
              <w:rPr>
                <w:sz w:val="26"/>
                <w:szCs w:val="26"/>
                <w:rtl/>
              </w:rPr>
            </w:pPr>
            <w:r>
              <w:rPr>
                <w:rFonts w:hint="cs"/>
                <w:sz w:val="26"/>
                <w:szCs w:val="26"/>
                <w:rtl/>
              </w:rPr>
              <w:t>מבקשת 2 ע"י עו"ד פלוני</w:t>
            </w:r>
          </w:p>
          <w:p w:rsidR="00C848D9" w:rsidRPr="00C848D9" w:rsidRDefault="00C848D9">
            <w:pPr>
              <w:rPr>
                <w:noProof w:val="0"/>
                <w:sz w:val="26"/>
                <w:szCs w:val="26"/>
              </w:rPr>
            </w:pPr>
            <w:r w:rsidRPr="00C848D9">
              <w:rPr>
                <w:rFonts w:hint="cs"/>
                <w:sz w:val="26"/>
                <w:szCs w:val="26"/>
                <w:rtl/>
              </w:rPr>
              <w:t>מבקשות 3-4 ע"י עו"ד פלוני ועו"ד יעקב בלס</w:t>
            </w:r>
          </w:p>
        </w:tc>
      </w:tr>
      <w:tr w:rsidR="00694556" w:rsidRPr="001346CC">
        <w:trPr>
          <w:jc w:val="center"/>
        </w:trPr>
        <w:tc>
          <w:tcPr>
            <w:tcW w:w="8820" w:type="dxa"/>
            <w:gridSpan w:val="3"/>
          </w:tcPr>
          <w:p w:rsidR="00694556" w:rsidRPr="001346CC" w:rsidRDefault="00694556">
            <w:pPr>
              <w:rPr>
                <w:rFonts w:ascii="Arial" w:hAnsi="Arial"/>
                <w:b/>
                <w:bCs/>
                <w:noProof w:val="0"/>
                <w:sz w:val="26"/>
                <w:szCs w:val="26"/>
                <w:rtl/>
              </w:rPr>
            </w:pPr>
          </w:p>
          <w:p w:rsidR="00694556" w:rsidRPr="001346CC" w:rsidRDefault="00005C8B">
            <w:pPr>
              <w:jc w:val="center"/>
              <w:rPr>
                <w:rFonts w:ascii="Arial" w:hAnsi="Arial"/>
                <w:b/>
                <w:bCs/>
                <w:noProof w:val="0"/>
                <w:sz w:val="26"/>
                <w:szCs w:val="26"/>
                <w:rtl/>
              </w:rPr>
            </w:pPr>
            <w:r w:rsidRPr="001346CC">
              <w:rPr>
                <w:rFonts w:ascii="Arial" w:hAnsi="Arial"/>
                <w:b/>
                <w:bCs/>
                <w:noProof w:val="0"/>
                <w:sz w:val="26"/>
                <w:szCs w:val="26"/>
                <w:rtl/>
              </w:rPr>
              <w:t>נגד</w:t>
            </w:r>
          </w:p>
          <w:p w:rsidR="00694556" w:rsidRPr="001346CC" w:rsidRDefault="00694556">
            <w:pPr>
              <w:rPr>
                <w:rFonts w:ascii="Arial" w:hAnsi="Arial"/>
                <w:b/>
                <w:bCs/>
                <w:noProof w:val="0"/>
                <w:sz w:val="26"/>
                <w:szCs w:val="26"/>
              </w:rPr>
            </w:pPr>
          </w:p>
        </w:tc>
      </w:tr>
      <w:tr w:rsidR="00694556" w:rsidRPr="001346CC">
        <w:trPr>
          <w:jc w:val="center"/>
        </w:trPr>
        <w:tc>
          <w:tcPr>
            <w:tcW w:w="3249" w:type="dxa"/>
            <w:gridSpan w:val="2"/>
          </w:tcPr>
          <w:p w:rsidR="00694556" w:rsidRPr="001346CC" w:rsidRDefault="00694556">
            <w:pPr>
              <w:rPr>
                <w:rFonts w:ascii="Arial" w:hAnsi="Arial"/>
                <w:b/>
                <w:bCs/>
                <w:noProof w:val="0"/>
                <w:sz w:val="26"/>
                <w:szCs w:val="26"/>
                <w:rtl/>
              </w:rPr>
            </w:pPr>
          </w:p>
          <w:p w:rsidR="00694556" w:rsidRPr="001346CC" w:rsidRDefault="005F5BFF">
            <w:pPr>
              <w:rPr>
                <w:rFonts w:ascii="Arial" w:hAnsi="Arial"/>
                <w:b/>
                <w:bCs/>
                <w:noProof w:val="0"/>
                <w:sz w:val="26"/>
                <w:szCs w:val="26"/>
              </w:rPr>
            </w:pPr>
            <w:sdt>
              <w:sdtPr>
                <w:rPr>
                  <w:sz w:val="26"/>
                  <w:szCs w:val="26"/>
                  <w:rtl/>
                </w:rPr>
                <w:alias w:val="1184"/>
                <w:tag w:val="1184"/>
                <w:id w:val="-310096844"/>
                <w:text w:multiLine="1"/>
              </w:sdtPr>
              <w:sdtEndPr/>
              <w:sdtContent>
                <w:r w:rsidR="00FB7194">
                  <w:rPr>
                    <w:rFonts w:ascii="Arial" w:hAnsi="Arial"/>
                    <w:b/>
                    <w:bCs/>
                    <w:noProof w:val="0"/>
                    <w:sz w:val="26"/>
                    <w:szCs w:val="26"/>
                    <w:rtl/>
                  </w:rPr>
                  <w:t>משיבים</w:t>
                </w:r>
              </w:sdtContent>
            </w:sdt>
          </w:p>
        </w:tc>
        <w:tc>
          <w:tcPr>
            <w:tcW w:w="5571" w:type="dxa"/>
          </w:tcPr>
          <w:p w:rsidR="00694556" w:rsidRPr="001346CC" w:rsidRDefault="00694556">
            <w:pPr>
              <w:rPr>
                <w:rFonts w:ascii="Arial" w:hAnsi="Arial"/>
                <w:b/>
                <w:bCs/>
                <w:noProof w:val="0"/>
                <w:sz w:val="26"/>
                <w:szCs w:val="26"/>
                <w:rtl/>
              </w:rPr>
            </w:pPr>
          </w:p>
          <w:p w:rsidR="003506A5" w:rsidRDefault="005F5BFF" w:rsidP="00C848D9">
            <w:pPr>
              <w:rPr>
                <w:sz w:val="26"/>
                <w:szCs w:val="26"/>
                <w:rtl/>
              </w:rPr>
            </w:pPr>
            <w:sdt>
              <w:sdtPr>
                <w:rPr>
                  <w:sz w:val="26"/>
                  <w:szCs w:val="26"/>
                  <w:rtl/>
                </w:rPr>
                <w:alias w:val="1571"/>
                <w:tag w:val="1571"/>
                <w:id w:val="-942837867"/>
                <w:text w:multiLine="1"/>
              </w:sdtPr>
              <w:sdtEndPr/>
              <w:sdtContent>
                <w:r w:rsidR="00FB7194">
                  <w:rPr>
                    <w:rFonts w:ascii="Arial" w:hAnsi="Arial"/>
                    <w:b/>
                    <w:bCs/>
                    <w:noProof w:val="0"/>
                    <w:sz w:val="26"/>
                    <w:szCs w:val="26"/>
                    <w:rtl/>
                  </w:rPr>
                  <w:t>1</w:t>
                </w:r>
              </w:sdtContent>
            </w:sdt>
            <w:r w:rsidR="00C22D93" w:rsidRPr="001346CC">
              <w:rPr>
                <w:rFonts w:ascii="Arial" w:hAnsi="Arial"/>
                <w:b/>
                <w:bCs/>
                <w:noProof w:val="0"/>
                <w:sz w:val="26"/>
                <w:szCs w:val="26"/>
                <w:rtl/>
              </w:rPr>
              <w:t>.</w:t>
            </w:r>
            <w:sdt>
              <w:sdtPr>
                <w:rPr>
                  <w:sz w:val="26"/>
                  <w:szCs w:val="26"/>
                  <w:rtl/>
                </w:rPr>
                <w:alias w:val="1486"/>
                <w:tag w:val="1486"/>
                <w:id w:val="960070400"/>
                <w:text w:multiLine="1"/>
              </w:sdtPr>
              <w:sdtEndPr/>
              <w:sdtContent>
                <w:r w:rsidR="00C848D9">
                  <w:rPr>
                    <w:rFonts w:ascii="Arial" w:hAnsi="Arial" w:hint="cs"/>
                    <w:b/>
                    <w:bCs/>
                    <w:noProof w:val="0"/>
                    <w:sz w:val="26"/>
                    <w:szCs w:val="26"/>
                    <w:rtl/>
                  </w:rPr>
                  <w:t>פלונית</w:t>
                </w:r>
              </w:sdtContent>
            </w:sdt>
          </w:p>
          <w:p w:rsidR="003506A5" w:rsidRDefault="005F5BFF" w:rsidP="00C848D9">
            <w:pPr>
              <w:rPr>
                <w:sz w:val="26"/>
                <w:szCs w:val="26"/>
                <w:rtl/>
              </w:rPr>
            </w:pPr>
            <w:sdt>
              <w:sdtPr>
                <w:rPr>
                  <w:sz w:val="26"/>
                  <w:szCs w:val="26"/>
                  <w:rtl/>
                </w:rPr>
                <w:alias w:val="1571"/>
                <w:tag w:val="1571"/>
                <w:id w:val="-1648970686"/>
                <w:text w:multiLine="1"/>
              </w:sdtPr>
              <w:sdtEndPr/>
              <w:sdtContent>
                <w:r w:rsidR="00FB7194">
                  <w:rPr>
                    <w:rFonts w:ascii="Arial" w:hAnsi="Arial"/>
                    <w:b/>
                    <w:bCs/>
                    <w:noProof w:val="0"/>
                    <w:sz w:val="26"/>
                    <w:szCs w:val="26"/>
                    <w:rtl/>
                  </w:rPr>
                  <w:t>2</w:t>
                </w:r>
              </w:sdtContent>
            </w:sdt>
            <w:r w:rsidR="00C22D93" w:rsidRPr="001346CC">
              <w:rPr>
                <w:rFonts w:ascii="Arial" w:hAnsi="Arial"/>
                <w:b/>
                <w:bCs/>
                <w:noProof w:val="0"/>
                <w:sz w:val="26"/>
                <w:szCs w:val="26"/>
                <w:rtl/>
              </w:rPr>
              <w:t>.</w:t>
            </w:r>
            <w:sdt>
              <w:sdtPr>
                <w:rPr>
                  <w:sz w:val="26"/>
                  <w:szCs w:val="26"/>
                  <w:rtl/>
                </w:rPr>
                <w:alias w:val="1486"/>
                <w:tag w:val="1486"/>
                <w:id w:val="-1584522400"/>
                <w:text w:multiLine="1"/>
              </w:sdtPr>
              <w:sdtEndPr/>
              <w:sdtContent>
                <w:r w:rsidR="00C848D9">
                  <w:rPr>
                    <w:rFonts w:ascii="Arial" w:hAnsi="Arial" w:hint="cs"/>
                    <w:b/>
                    <w:bCs/>
                    <w:noProof w:val="0"/>
                    <w:sz w:val="26"/>
                    <w:szCs w:val="26"/>
                    <w:rtl/>
                  </w:rPr>
                  <w:t>אלמוני</w:t>
                </w:r>
              </w:sdtContent>
            </w:sdt>
          </w:p>
          <w:p w:rsidR="00694556" w:rsidRPr="001346CC" w:rsidRDefault="00C848D9">
            <w:pPr>
              <w:rPr>
                <w:b/>
                <w:bCs/>
                <w:noProof w:val="0"/>
                <w:sz w:val="26"/>
                <w:szCs w:val="26"/>
                <w:rtl/>
              </w:rPr>
            </w:pPr>
            <w:r>
              <w:rPr>
                <w:rFonts w:hint="cs"/>
                <w:sz w:val="26"/>
                <w:szCs w:val="26"/>
                <w:rtl/>
              </w:rPr>
              <w:t>ע"י ב"כ עו"ד שלמה אייגנר</w:t>
            </w:r>
          </w:p>
        </w:tc>
      </w:tr>
    </w:tbl>
    <w:p w:rsidR="00694556" w:rsidRPr="00C848D9" w:rsidRDefault="00694556" w:rsidP="008023D9">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5E2E46">
            <w:pPr>
              <w:bidi w:val="0"/>
              <w:jc w:val="center"/>
              <w:rPr>
                <w:rFonts w:ascii="Arial" w:hAnsi="Arial"/>
                <w:b/>
                <w:bCs/>
                <w:noProof w:val="0"/>
                <w:sz w:val="28"/>
                <w:szCs w:val="28"/>
                <w:u w:val="single"/>
              </w:rPr>
            </w:pPr>
            <w:r>
              <w:rPr>
                <w:rFonts w:ascii="Arial" w:hAnsi="Arial" w:hint="cs"/>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C848D9" w:rsidRDefault="00C848D9" w:rsidP="00C848D9">
      <w:pPr>
        <w:spacing w:line="360" w:lineRule="auto"/>
        <w:jc w:val="both"/>
        <w:rPr>
          <w:rFonts w:ascii="David" w:hAnsi="David"/>
          <w:rtl/>
        </w:rPr>
      </w:pPr>
      <w:r>
        <w:rPr>
          <w:rFonts w:ascii="David" w:hAnsi="David"/>
          <w:rtl/>
        </w:rPr>
        <w:t>בקשת רשות ערעור על החלטת בית המשפט לענייני משפחה במחוז תל=אביב (כב' סגן הנשיאה, השופט יהורם שקד, בת"ע 41791-06-20), מיום 4.7.24, במסגרתה נפסל המבקש 1, עוה"ד פלוני, מהמשך ייצוג בהליך המתנהל בביהמ"ש קמא.</w:t>
      </w:r>
    </w:p>
    <w:p w:rsidR="00C848D9" w:rsidRDefault="00C848D9" w:rsidP="00C848D9">
      <w:pPr>
        <w:jc w:val="both"/>
        <w:rPr>
          <w:rFonts w:ascii="David" w:hAnsi="David"/>
          <w:b/>
          <w:bCs/>
          <w:rtl/>
        </w:rPr>
      </w:pPr>
    </w:p>
    <w:p w:rsidR="00C848D9" w:rsidRDefault="00C848D9" w:rsidP="00C848D9">
      <w:pPr>
        <w:jc w:val="both"/>
        <w:rPr>
          <w:rFonts w:ascii="David" w:hAnsi="David"/>
          <w:b/>
          <w:bCs/>
          <w:rtl/>
        </w:rPr>
      </w:pPr>
    </w:p>
    <w:p w:rsidR="00C848D9" w:rsidRDefault="00C848D9" w:rsidP="00C848D9">
      <w:pPr>
        <w:jc w:val="both"/>
        <w:rPr>
          <w:rFonts w:ascii="David" w:hAnsi="David"/>
          <w:b/>
          <w:bCs/>
          <w:u w:val="single"/>
          <w:rtl/>
        </w:rPr>
      </w:pPr>
      <w:r>
        <w:rPr>
          <w:rFonts w:ascii="David" w:hAnsi="David"/>
          <w:b/>
          <w:bCs/>
          <w:u w:val="single"/>
          <w:rtl/>
        </w:rPr>
        <w:t>העובדות הצריכות לעניין</w:t>
      </w:r>
    </w:p>
    <w:p w:rsidR="00C848D9" w:rsidRDefault="00C848D9" w:rsidP="00C848D9">
      <w:pPr>
        <w:jc w:val="both"/>
        <w:rPr>
          <w:rFonts w:ascii="David" w:hAnsi="David"/>
          <w:b/>
          <w:bCs/>
          <w:rtl/>
        </w:rPr>
      </w:pPr>
    </w:p>
    <w:p w:rsidR="00C848D9" w:rsidRDefault="00C848D9" w:rsidP="00C848D9">
      <w:pPr>
        <w:spacing w:line="360" w:lineRule="auto"/>
        <w:jc w:val="both"/>
        <w:rPr>
          <w:rFonts w:ascii="David" w:hAnsi="David"/>
          <w:rtl/>
        </w:rPr>
      </w:pPr>
    </w:p>
    <w:p w:rsidR="00C848D9" w:rsidRDefault="00C848D9" w:rsidP="00C848D9">
      <w:pPr>
        <w:spacing w:line="360" w:lineRule="auto"/>
        <w:jc w:val="both"/>
        <w:rPr>
          <w:rFonts w:ascii="David" w:hAnsi="David"/>
          <w:rtl/>
        </w:rPr>
      </w:pPr>
      <w:r>
        <w:rPr>
          <w:rFonts w:ascii="David" w:hAnsi="David"/>
          <w:rtl/>
        </w:rPr>
        <w:t xml:space="preserve">בשנת 2019 הלכה לבית עולמה גב' ק.מ. (להלן: </w:t>
      </w:r>
      <w:r>
        <w:rPr>
          <w:rFonts w:ascii="David" w:hAnsi="David"/>
          <w:b/>
          <w:bCs/>
          <w:rtl/>
        </w:rPr>
        <w:t>המנוחה</w:t>
      </w:r>
      <w:r>
        <w:rPr>
          <w:rFonts w:ascii="David" w:hAnsi="David"/>
          <w:rtl/>
        </w:rPr>
        <w:t xml:space="preserve">). המנוחה ערכה לא מעט צוואות בחייה. לפני ביהמ"ש קמא עומדת כיום לדיון בקשה לקיום צוואה  אותה ערכה המנוחה ביום 24.11.14.  המשיבים הם מבקשי קיום הצוואה ואלו המבקשים 2-4 הם המתנגדים לה. צוואה זו נערכה ע"י עו"ד פלוני, המבקש 1 (להלן: </w:t>
      </w:r>
      <w:r>
        <w:rPr>
          <w:rFonts w:ascii="David" w:hAnsi="David"/>
          <w:b/>
          <w:bCs/>
          <w:rtl/>
        </w:rPr>
        <w:t>המבקש</w:t>
      </w:r>
      <w:r>
        <w:rPr>
          <w:rFonts w:ascii="David" w:hAnsi="David"/>
          <w:rtl/>
        </w:rPr>
        <w:t>) עבור המנוחה שהייתה לקוחתו והוא אף שימש עד לעשייתה. המבקש הוא העד היחיד לצוואה שעודו בחיים ויכול לשפ</w:t>
      </w:r>
      <w:r w:rsidR="00ED3C51">
        <w:rPr>
          <w:rFonts w:ascii="David" w:hAnsi="David"/>
          <w:rtl/>
        </w:rPr>
        <w:t xml:space="preserve">וך אור על נסיבות עריכת הצוואה. </w:t>
      </w:r>
      <w:r>
        <w:rPr>
          <w:rFonts w:ascii="David" w:hAnsi="David"/>
          <w:rtl/>
        </w:rPr>
        <w:t>בהליך המתנהל בביהמ"ש קמא מייצג המבקש את המבקשים 2-4, שהם כאמור המתנגדים לצוואה.</w:t>
      </w:r>
    </w:p>
    <w:p w:rsidR="00C848D9" w:rsidRDefault="00C848D9" w:rsidP="00C848D9">
      <w:pPr>
        <w:pStyle w:val="ad"/>
        <w:spacing w:line="360" w:lineRule="auto"/>
        <w:ind w:left="641"/>
        <w:jc w:val="both"/>
        <w:rPr>
          <w:rFonts w:ascii="David" w:hAnsi="David" w:cs="David"/>
          <w:sz w:val="24"/>
          <w:szCs w:val="24"/>
        </w:rPr>
      </w:pPr>
    </w:p>
    <w:p w:rsidR="00C848D9" w:rsidRDefault="00C848D9" w:rsidP="00C848D9">
      <w:pPr>
        <w:spacing w:line="360" w:lineRule="auto"/>
        <w:jc w:val="both"/>
        <w:rPr>
          <w:rFonts w:ascii="David" w:hAnsi="David"/>
        </w:rPr>
      </w:pPr>
      <w:r>
        <w:rPr>
          <w:rFonts w:ascii="David" w:hAnsi="David"/>
          <w:rtl/>
        </w:rPr>
        <w:t xml:space="preserve">בהחלטה מיום 6.5.2024 קבע ביהמ"ש קמא כי המבקש מנוע מהמשך ייצוג בתיק, כמי שבסבירות גבוהה ייקרא לעדות כעד החתום על הצוואה. המבקש לא השלים עם החלטה זו והגיש עליה בר"ע (רמ"ש 69025-05-24). ביום 16.6.24 ניתן על-ידי פסק-דין ברמ"ש במסגרתו עמדתי על כך שההלכה בעניין סמכות ביהמ"ש להורות על הפסקת ייצוגו של עו"ד כפי שנקבעה בברע"א 9930/17 </w:t>
      </w:r>
      <w:r>
        <w:rPr>
          <w:rFonts w:ascii="David" w:hAnsi="David"/>
          <w:b/>
          <w:bCs/>
          <w:color w:val="000000"/>
          <w:u w:val="single"/>
          <w:rtl/>
        </w:rPr>
        <w:t>אל מדאמין בע"מ נ' חביב שחאדה חנא</w:t>
      </w:r>
      <w:r>
        <w:rPr>
          <w:rFonts w:ascii="David" w:hAnsi="David"/>
          <w:color w:val="000000"/>
          <w:rtl/>
        </w:rPr>
        <w:t> (28.3.18</w:t>
      </w:r>
      <w:r>
        <w:rPr>
          <w:rFonts w:ascii="David" w:hAnsi="David"/>
          <w:rtl/>
        </w:rPr>
        <w:t xml:space="preserve">) , הלכה שלא הועלתה ע"י מי מהצדדים לא לפני בימ"ש זה ולא לפני ביהמ"ש קמא, לא יושמה כראוי והוריתי על ביטול החלטת ביהמ"ש קמא תוך השבת העניין לביהמ"ש קמא למתן החלטה חדשה בהתאם לאותה הלכה. </w:t>
      </w:r>
    </w:p>
    <w:p w:rsidR="00C848D9" w:rsidRDefault="00C848D9" w:rsidP="00C848D9">
      <w:pPr>
        <w:spacing w:line="360" w:lineRule="auto"/>
        <w:jc w:val="both"/>
        <w:rPr>
          <w:rFonts w:ascii="David" w:hAnsi="David"/>
          <w:rtl/>
        </w:rPr>
      </w:pPr>
    </w:p>
    <w:p w:rsidR="00C848D9" w:rsidRDefault="00C848D9" w:rsidP="00C848D9">
      <w:pPr>
        <w:spacing w:line="360" w:lineRule="auto"/>
        <w:jc w:val="both"/>
        <w:rPr>
          <w:rFonts w:ascii="David" w:hAnsi="David"/>
          <w:rtl/>
        </w:rPr>
      </w:pPr>
      <w:r>
        <w:rPr>
          <w:rFonts w:ascii="David" w:hAnsi="David"/>
          <w:rtl/>
        </w:rPr>
        <w:t>בעקבות פסק-דיני מיום 16.6.24 ברמ"ש הקודם הגישו הצדדים לביהמ"ש קמא טיעונים משלימים.</w:t>
      </w:r>
    </w:p>
    <w:p w:rsidR="00C848D9" w:rsidRDefault="00C848D9" w:rsidP="00C848D9">
      <w:pPr>
        <w:ind w:left="360"/>
        <w:jc w:val="both"/>
        <w:rPr>
          <w:rFonts w:ascii="David" w:hAnsi="David"/>
          <w:u w:val="single"/>
          <w:rtl/>
        </w:rPr>
      </w:pPr>
    </w:p>
    <w:p w:rsidR="00C848D9" w:rsidRDefault="00C848D9" w:rsidP="00ED3C51">
      <w:pPr>
        <w:spacing w:line="360" w:lineRule="auto"/>
        <w:jc w:val="both"/>
        <w:rPr>
          <w:rFonts w:ascii="David" w:hAnsi="David"/>
          <w:rtl/>
        </w:rPr>
      </w:pPr>
      <w:r>
        <w:rPr>
          <w:rFonts w:ascii="David" w:hAnsi="David"/>
          <w:rtl/>
        </w:rPr>
        <w:t xml:space="preserve">עיקר טענות המשיבים היו כי  המבקש מנוע מהמשך ייצוג בתיק לפי סעיפים 14(א) ו-(ב), סעיף 15 וסעיף 36(א) לכללי לשכת עורכי הדין (אתיקה מקצועית), תשמ"ו –  1986 (להלן: </w:t>
      </w:r>
      <w:r>
        <w:rPr>
          <w:rFonts w:ascii="David" w:hAnsi="David"/>
          <w:b/>
          <w:bCs/>
          <w:rtl/>
        </w:rPr>
        <w:t>כללי האתיקה)</w:t>
      </w:r>
      <w:r>
        <w:rPr>
          <w:rFonts w:ascii="David" w:hAnsi="David"/>
          <w:rtl/>
        </w:rPr>
        <w:t xml:space="preserve"> וכי  </w:t>
      </w:r>
      <w:r w:rsidR="00ED3C51">
        <w:rPr>
          <w:rFonts w:ascii="David" w:hAnsi="David" w:hint="cs"/>
          <w:rtl/>
        </w:rPr>
        <w:t>ב</w:t>
      </w:r>
      <w:r>
        <w:rPr>
          <w:rFonts w:ascii="David" w:hAnsi="David"/>
          <w:rtl/>
        </w:rPr>
        <w:t>המשך ייצוגו המבקש פועל כנגד אינטרס המנוחה ורצונה כפי שזה הובע בפניו, בזמן שהוא העד היחיד בחיים היכול להעיד על טיב הצוואה.</w:t>
      </w:r>
      <w:r w:rsidR="00ED3C51">
        <w:rPr>
          <w:rFonts w:ascii="David" w:hAnsi="David"/>
        </w:rPr>
        <w:t xml:space="preserve"> </w:t>
      </w:r>
      <w:r>
        <w:rPr>
          <w:rFonts w:ascii="David" w:hAnsi="David"/>
          <w:rtl/>
        </w:rPr>
        <w:t xml:space="preserve">המשיבים טענו כי המקרה דנן הוא אחד המקרים החריגים המצדיקים את הפעלת סמכות בית המשפט העקרונית למתן צווים או סעדים בגין הפרת כללי האתיקה מכוח סמכותו הכללית, המעוגנת בסעיף 75 לחוק בתי המשפט [נוסח משולב], התשמ"ד-1984 (להלן: </w:t>
      </w:r>
      <w:r>
        <w:rPr>
          <w:rFonts w:ascii="David" w:hAnsi="David"/>
          <w:b/>
          <w:bCs/>
          <w:rtl/>
        </w:rPr>
        <w:t>החוק</w:t>
      </w:r>
      <w:r>
        <w:rPr>
          <w:rFonts w:ascii="David" w:hAnsi="David"/>
          <w:rtl/>
        </w:rPr>
        <w:t>), כאשר המבקש טוען לאי כשירות מסמך שהוא עצמו ערך ואישר בחתימת ידו.  נטען כי הדבר מהווה כשל אתי ו</w:t>
      </w:r>
      <w:r w:rsidR="00ED3C51">
        <w:rPr>
          <w:rFonts w:ascii="David" w:hAnsi="David" w:hint="cs"/>
          <w:rtl/>
        </w:rPr>
        <w:t>אף</w:t>
      </w:r>
      <w:r>
        <w:rPr>
          <w:rFonts w:ascii="David" w:hAnsi="David"/>
          <w:rtl/>
        </w:rPr>
        <w:t xml:space="preserve"> כשל לוגי. המשיבים טענו כי בראי יישום ההלכה, ישנה פגיעה באינטרסים לגיטימיים כיוון שהמבקש טוען כנגד עבודתו שלו בכל הנוגע לעריכת הצוואה במטרה לפגוע במשיבים ולבכר את האינטרסים של הלקוחות שלו (המתנגדים). נטען כי המשך ייצוג על ידי המבקש יסכל את חקר האמת בהיותו העד היחיד וכן האיש שהכשיר את הצוואה וכעת טוען כנגדה והדבר עולה לכדי פגיעה באינטרסים הלגיטימיים של המשיבים למימוש זכויותיהם בצוואה הנדונה אשר הם הזוכים בה.</w:t>
      </w:r>
    </w:p>
    <w:p w:rsidR="00C848D9" w:rsidRDefault="00C848D9" w:rsidP="00C848D9">
      <w:pPr>
        <w:spacing w:line="360" w:lineRule="auto"/>
        <w:jc w:val="both"/>
        <w:rPr>
          <w:rFonts w:ascii="David" w:hAnsi="David"/>
          <w:rtl/>
        </w:rPr>
      </w:pPr>
    </w:p>
    <w:p w:rsidR="00C848D9" w:rsidRDefault="00C848D9" w:rsidP="00C848D9">
      <w:pPr>
        <w:spacing w:line="360" w:lineRule="auto"/>
        <w:jc w:val="both"/>
        <w:rPr>
          <w:rFonts w:ascii="David" w:hAnsi="David"/>
          <w:b/>
          <w:bCs/>
          <w:rtl/>
        </w:rPr>
      </w:pPr>
      <w:r>
        <w:rPr>
          <w:rFonts w:ascii="David" w:hAnsi="David"/>
          <w:rtl/>
        </w:rPr>
        <w:t>המבקש טען מנגד כי אין בטיעוני המשיבים דבר הנכנס בגדרי המקרים החריגים אשר מצדיקים פסילה של ייצוג על ידי בית המשפט. בהמשך לזאת, טען המבקש כי הוא מעולם לא ייצג את המשיבים ולכן לא הייתה לו כל חובת נאמנות או חובה מקצועית אחרת כלפיהם. המבקש טען כי הצוואה העומדת כעת לדיון לפני ביהמ"ש קמא, כמו צוואות קודמות שערך עבור המנוחה, הן צוואות של המנוחה, חתימתה חתימותיה וחתימות העדים כשרות וכי "</w:t>
      </w:r>
      <w:r>
        <w:rPr>
          <w:rFonts w:ascii="David" w:hAnsi="David"/>
          <w:b/>
          <w:bCs/>
          <w:rtl/>
        </w:rPr>
        <w:t>משאין הכחשה צורנית לצוואות, ולכן אין צורך בעדותי".</w:t>
      </w:r>
    </w:p>
    <w:p w:rsidR="00C848D9" w:rsidRDefault="00C848D9" w:rsidP="00C848D9">
      <w:pPr>
        <w:spacing w:line="360" w:lineRule="auto"/>
        <w:jc w:val="both"/>
        <w:rPr>
          <w:rFonts w:ascii="David" w:hAnsi="David"/>
          <w:rtl/>
        </w:rPr>
      </w:pPr>
    </w:p>
    <w:p w:rsidR="00C848D9" w:rsidRDefault="00C848D9" w:rsidP="00C848D9">
      <w:pPr>
        <w:spacing w:line="360" w:lineRule="auto"/>
        <w:jc w:val="both"/>
        <w:rPr>
          <w:rFonts w:ascii="David" w:hAnsi="David"/>
          <w:rtl/>
        </w:rPr>
      </w:pPr>
      <w:r>
        <w:rPr>
          <w:rFonts w:ascii="David" w:hAnsi="David"/>
          <w:rtl/>
        </w:rPr>
        <w:t>ביהמ"ש קמא בהחלטתו, לאחר שהביא את טיעוני הצדדים וכן ניתח את התנאים שנקבעו בהלכה שנקבעה ברע"א 9930/17 הנ"ל בשאלה מתי יהיה זה מוצדק לברר את השאלה האתית במסגרת הדיון בביהמ"ש, מצא לנכון לקבל את בקשת המשיבים ונימק זאת באופן הבא:</w:t>
      </w:r>
    </w:p>
    <w:p w:rsidR="00C848D9" w:rsidRDefault="00C848D9" w:rsidP="00C848D9">
      <w:pPr>
        <w:pStyle w:val="ad"/>
        <w:spacing w:line="360" w:lineRule="auto"/>
        <w:ind w:left="644"/>
        <w:jc w:val="both"/>
        <w:rPr>
          <w:rFonts w:ascii="David" w:hAnsi="David" w:cs="David"/>
          <w:sz w:val="24"/>
          <w:szCs w:val="24"/>
          <w:rtl/>
        </w:rPr>
      </w:pPr>
    </w:p>
    <w:p w:rsidR="00C848D9" w:rsidRDefault="00C848D9" w:rsidP="00C848D9">
      <w:pPr>
        <w:pStyle w:val="ad"/>
        <w:spacing w:line="240" w:lineRule="auto"/>
        <w:ind w:left="644"/>
        <w:jc w:val="both"/>
        <w:rPr>
          <w:rFonts w:ascii="David" w:hAnsi="David" w:cs="David"/>
          <w:b/>
          <w:bCs/>
          <w:sz w:val="24"/>
          <w:szCs w:val="24"/>
          <w:rtl/>
        </w:rPr>
      </w:pPr>
      <w:r>
        <w:rPr>
          <w:rFonts w:ascii="David" w:hAnsi="David" w:cs="David"/>
          <w:b/>
          <w:bCs/>
          <w:sz w:val="24"/>
          <w:szCs w:val="24"/>
          <w:rtl/>
        </w:rPr>
        <w:t>"</w:t>
      </w:r>
    </w:p>
    <w:p w:rsidR="00C848D9" w:rsidRDefault="00C848D9" w:rsidP="00C848D9">
      <w:pPr>
        <w:pStyle w:val="ad"/>
        <w:numPr>
          <w:ilvl w:val="0"/>
          <w:numId w:val="1"/>
        </w:numPr>
        <w:spacing w:line="240" w:lineRule="auto"/>
        <w:jc w:val="both"/>
        <w:rPr>
          <w:rFonts w:ascii="David" w:hAnsi="David" w:cs="David"/>
          <w:b/>
          <w:bCs/>
          <w:sz w:val="24"/>
          <w:szCs w:val="24"/>
          <w:rtl/>
        </w:rPr>
      </w:pPr>
      <w:r>
        <w:rPr>
          <w:rFonts w:ascii="David" w:hAnsi="David" w:cs="David"/>
          <w:b/>
          <w:bCs/>
          <w:sz w:val="24"/>
          <w:szCs w:val="24"/>
          <w:rtl/>
        </w:rPr>
        <w:t xml:space="preserve">ראשית, נבחן את השאלה המקדמית אשר מכניסה אותנו אל טרקלין הדיון, והיא האם הטענה המועלית על ידי המבקשים היא מהמישור האתי בלבד, או שמא היא עלולה לפגוע באינטרסים הלגיטימיים שלהם. לעניין זה, המבקשים העלו טענות להפרת ארבעה מכללי האתיקה, אשר פוגעות בלב לבו של האינטרס הדיוני שלהם – הגעה לחקר האמת לצורך מיצוי זכויותיהם כמוטבים בצוואה אשר טוענים הם לקיומה. כל עוד המשיב אוחז הן בתפקידו כמי שהכשיר את הצוואה והיה עד לה, והן בתפקידו כבא כוחם של המתנגדים לה, הוא נמצא בכשל לוגי אשר מכשיל את בירור התביעה כולה. ברור לכל בר דעת כי טענה לאי-כשרות הצוואה על ידי המשיב בכובעו כב"כ המתנגדים מסכלת את מיצוי זכויותיהם של המבקשים, כיוון שהוא עצמו, בכובעו כמי שערך את הצוואה ושימש כעד לה, יכול וצריך היה להפריך טענה זו. לא די בכך, אלא שאין אחר מלבדו שיכול להפריך את הטענה לאי-כשרות </w:t>
      </w:r>
      <w:r>
        <w:rPr>
          <w:rFonts w:ascii="David" w:hAnsi="David" w:cs="David"/>
          <w:b/>
          <w:bCs/>
          <w:sz w:val="24"/>
          <w:szCs w:val="24"/>
          <w:rtl/>
        </w:rPr>
        <w:lastRenderedPageBreak/>
        <w:t>הצוואה, בהיותו העד היחיד לצוואה שעודנו בחיים. ומכאן אני קובע כי טענה כנגד המשיב היא כזו העולה בגדר פגיעה באינטרסים לגיטימיים של המבקשים.</w:t>
      </w:r>
    </w:p>
    <w:p w:rsidR="00C848D9" w:rsidRDefault="00C848D9" w:rsidP="00C848D9">
      <w:pPr>
        <w:pStyle w:val="ad"/>
        <w:spacing w:line="240" w:lineRule="auto"/>
        <w:ind w:left="644"/>
        <w:jc w:val="both"/>
        <w:rPr>
          <w:rFonts w:ascii="David" w:hAnsi="David" w:cs="David"/>
          <w:b/>
          <w:bCs/>
          <w:sz w:val="24"/>
          <w:szCs w:val="24"/>
          <w:rtl/>
        </w:rPr>
      </w:pPr>
    </w:p>
    <w:p w:rsidR="00C848D9" w:rsidRDefault="00C848D9" w:rsidP="00C848D9">
      <w:pPr>
        <w:pStyle w:val="ad"/>
        <w:numPr>
          <w:ilvl w:val="0"/>
          <w:numId w:val="1"/>
        </w:numPr>
        <w:spacing w:line="240" w:lineRule="auto"/>
        <w:jc w:val="both"/>
        <w:rPr>
          <w:rFonts w:ascii="David" w:hAnsi="David" w:cs="David"/>
          <w:b/>
          <w:bCs/>
          <w:sz w:val="24"/>
          <w:szCs w:val="24"/>
        </w:rPr>
      </w:pPr>
      <w:r>
        <w:rPr>
          <w:rFonts w:ascii="David" w:hAnsi="David" w:cs="David"/>
          <w:b/>
          <w:bCs/>
          <w:sz w:val="24"/>
          <w:szCs w:val="24"/>
          <w:rtl/>
        </w:rPr>
        <w:t xml:space="preserve">בהמשך לקביעה שההפרה הנטענת של כללי האתיקה אכן עשויה לפגוע באינטרסים לגיטימיים, יישום ההלכה ממשיך בבחינת מורכבותה העובדתית והמשפטית של הסוגיה שבפניי, כאשר יש להפנות סוגיות מורכבות לקבלת חוו"ד מלשכת עורכי הדין ובהתאמה כאשר הסוגיה היא מן הפשוטות בית המשפט יכול להמשיך ולדון ללא פנייה ללשכה מטעמי יעילות. כעת אבחן האם הסוגיה שבלב ההפרה הנטענת הינה מורכבת או פשוטה. בהינתן כי המשיב אינו מכחיש את העובדה כי הוא זה שערך את צוואת המנוחה וכי זו בעצם הטענה אשר בפי המבקשים, ברי כי הסוגיה מן היא מן </w:t>
      </w:r>
      <w:r>
        <w:rPr>
          <w:rFonts w:ascii="David" w:hAnsi="David" w:cs="David"/>
          <w:b/>
          <w:bCs/>
          <w:i/>
          <w:iCs/>
          <w:sz w:val="24"/>
          <w:szCs w:val="24"/>
          <w:rtl/>
        </w:rPr>
        <w:t>הפשוטות ביותר</w:t>
      </w:r>
      <w:r>
        <w:rPr>
          <w:rFonts w:ascii="David" w:hAnsi="David" w:cs="David"/>
          <w:b/>
          <w:bCs/>
          <w:sz w:val="24"/>
          <w:szCs w:val="24"/>
          <w:rtl/>
        </w:rPr>
        <w:t xml:space="preserve"> ואינה מצריכה בירור נוסף. לעניין זה אפנה לאמירתו של המשיב לאמור כי כל הצוואות שנערכו במשרדו כשרות צורנית, משל היה חותמת גומי בלבד לצוואה האמורה. הייתכן כי המשיב יעשה אבחנה זו בין צורה לתוכן, אשר תמוהה בפני עצמה אך תמוהה שבעתיים כאשר הוא זה שמייצג את המתנגדים לצוואה? לכן, אני קובע כי הסוגיה שבפניי היא פשוטה עד מאוד. </w:t>
      </w:r>
    </w:p>
    <w:p w:rsidR="00C848D9" w:rsidRDefault="00C848D9" w:rsidP="00C848D9">
      <w:pPr>
        <w:pStyle w:val="ad"/>
        <w:spacing w:line="240" w:lineRule="auto"/>
        <w:ind w:left="644"/>
        <w:jc w:val="both"/>
        <w:rPr>
          <w:rFonts w:ascii="David" w:hAnsi="David" w:cs="David"/>
          <w:b/>
          <w:bCs/>
          <w:sz w:val="24"/>
          <w:szCs w:val="24"/>
        </w:rPr>
      </w:pPr>
    </w:p>
    <w:p w:rsidR="00C848D9" w:rsidRDefault="00C848D9" w:rsidP="00C848D9">
      <w:pPr>
        <w:pStyle w:val="ad"/>
        <w:numPr>
          <w:ilvl w:val="0"/>
          <w:numId w:val="1"/>
        </w:numPr>
        <w:spacing w:line="240" w:lineRule="auto"/>
        <w:jc w:val="both"/>
        <w:rPr>
          <w:rFonts w:ascii="David" w:hAnsi="David" w:cs="David"/>
          <w:b/>
          <w:bCs/>
          <w:sz w:val="24"/>
          <w:szCs w:val="24"/>
        </w:rPr>
      </w:pPr>
      <w:r>
        <w:rPr>
          <w:rFonts w:ascii="David" w:hAnsi="David" w:cs="David"/>
          <w:b/>
          <w:bCs/>
          <w:sz w:val="24"/>
          <w:szCs w:val="24"/>
          <w:rtl/>
        </w:rPr>
        <w:t xml:space="preserve">כעת אנו בצומת האחרון; משהכרעתי כי ההפרה הנטענת מהווה פגיעה באינטרסים לגיטימיים של המבקשים, ובנוסף הכרעתי כי מדובר בסוגיה פשוטה עד מאוד להכרעה, נותר לענות על שאלה ועניינה אי פנייה ללשכת עורכי הדין מטעמי יעילות, מהירות ואי סרבול ההליך, ואזכיר כי לבית המשפט </w:t>
      </w:r>
      <w:r>
        <w:rPr>
          <w:rFonts w:ascii="David" w:hAnsi="David" w:cs="David"/>
          <w:b/>
          <w:bCs/>
          <w:sz w:val="24"/>
          <w:szCs w:val="24"/>
          <w:u w:val="single"/>
          <w:rtl/>
        </w:rPr>
        <w:t>שיקול דעת רחב</w:t>
      </w:r>
      <w:r>
        <w:rPr>
          <w:rFonts w:ascii="David" w:hAnsi="David" w:cs="David"/>
          <w:b/>
          <w:bCs/>
          <w:sz w:val="24"/>
          <w:szCs w:val="24"/>
          <w:rtl/>
        </w:rPr>
        <w:t xml:space="preserve"> בבואו לדון ולהכריע בשאלה זו.  </w:t>
      </w:r>
    </w:p>
    <w:p w:rsidR="00C848D9" w:rsidRDefault="00C848D9" w:rsidP="00C848D9">
      <w:pPr>
        <w:pStyle w:val="ad"/>
        <w:spacing w:line="240" w:lineRule="auto"/>
        <w:ind w:left="644"/>
        <w:jc w:val="both"/>
        <w:rPr>
          <w:rFonts w:ascii="David" w:hAnsi="David" w:cs="David"/>
          <w:b/>
          <w:bCs/>
          <w:sz w:val="24"/>
          <w:szCs w:val="24"/>
        </w:rPr>
      </w:pPr>
    </w:p>
    <w:p w:rsidR="00C848D9" w:rsidRDefault="00C848D9" w:rsidP="00C848D9">
      <w:pPr>
        <w:pStyle w:val="ad"/>
        <w:numPr>
          <w:ilvl w:val="0"/>
          <w:numId w:val="1"/>
        </w:numPr>
        <w:spacing w:line="240" w:lineRule="auto"/>
        <w:jc w:val="both"/>
        <w:rPr>
          <w:rFonts w:ascii="David" w:hAnsi="David" w:cs="David"/>
          <w:b/>
          <w:bCs/>
          <w:sz w:val="24"/>
          <w:szCs w:val="24"/>
        </w:rPr>
      </w:pPr>
      <w:r>
        <w:rPr>
          <w:rFonts w:ascii="David" w:hAnsi="David" w:cs="David"/>
          <w:b/>
          <w:bCs/>
          <w:sz w:val="24"/>
          <w:szCs w:val="24"/>
          <w:rtl/>
        </w:rPr>
        <w:t xml:space="preserve"> דווקא בשאלה זו יש להסתמך על תשובת המשיב בטיעוניו המשלימים אשר לא חסך בתיאור מורכבות והתמשכות ההליך שבפניי, ועל כן אני מוצא כי יש טעם מוצדק לנסות ולהביא את התיק להכרעה ולייתר סרבולים נוספים. מתוך טעמי יעילות אני קובע כי ניתן להכריע בשאלת הפסילה של המשיב גם ללא פנייה ללשכה.</w:t>
      </w:r>
    </w:p>
    <w:p w:rsidR="00C848D9" w:rsidRDefault="00C848D9" w:rsidP="00C848D9">
      <w:pPr>
        <w:pStyle w:val="ad"/>
        <w:numPr>
          <w:ilvl w:val="0"/>
          <w:numId w:val="1"/>
        </w:numPr>
        <w:spacing w:line="240" w:lineRule="auto"/>
        <w:jc w:val="both"/>
        <w:rPr>
          <w:rFonts w:ascii="David" w:hAnsi="David" w:cs="David"/>
          <w:b/>
          <w:bCs/>
          <w:sz w:val="24"/>
          <w:szCs w:val="24"/>
        </w:rPr>
      </w:pPr>
      <w:r>
        <w:rPr>
          <w:rFonts w:ascii="David" w:hAnsi="David" w:cs="David"/>
          <w:b/>
          <w:bCs/>
          <w:sz w:val="24"/>
          <w:szCs w:val="24"/>
          <w:rtl/>
        </w:rPr>
        <w:t xml:space="preserve">משקבעתי כי קיימת הצדקה לדון בטענה להפרת כללי האתיקה על ידי המשיב ללא פנייה ללשכת עורכי הדין לקבלת חוות דעת, אדרש אפוא לדיון זה.  </w:t>
      </w:r>
    </w:p>
    <w:p w:rsidR="00C848D9" w:rsidRDefault="00C848D9" w:rsidP="00C848D9">
      <w:pPr>
        <w:pStyle w:val="ad"/>
        <w:spacing w:line="240" w:lineRule="auto"/>
        <w:ind w:left="644"/>
        <w:jc w:val="both"/>
        <w:rPr>
          <w:rFonts w:ascii="David" w:hAnsi="David" w:cs="David"/>
          <w:b/>
          <w:bCs/>
          <w:sz w:val="24"/>
          <w:szCs w:val="24"/>
        </w:rPr>
      </w:pPr>
    </w:p>
    <w:p w:rsidR="00C848D9" w:rsidRDefault="00C848D9" w:rsidP="00C848D9">
      <w:pPr>
        <w:ind w:left="284"/>
        <w:jc w:val="both"/>
        <w:rPr>
          <w:rFonts w:ascii="David" w:hAnsi="David"/>
          <w:b/>
          <w:bCs/>
        </w:rPr>
      </w:pPr>
      <w:r>
        <w:rPr>
          <w:rFonts w:ascii="David" w:hAnsi="David"/>
          <w:b/>
          <w:bCs/>
          <w:rtl/>
        </w:rPr>
        <w:t>ג'2 – דיון בשאלת הפסילה של המשיב כמייצג:</w:t>
      </w:r>
    </w:p>
    <w:p w:rsidR="00C848D9" w:rsidRDefault="00C848D9" w:rsidP="00C848D9">
      <w:pPr>
        <w:ind w:left="284"/>
        <w:jc w:val="both"/>
        <w:rPr>
          <w:rFonts w:ascii="David" w:hAnsi="David"/>
          <w:b/>
          <w:bCs/>
        </w:rPr>
      </w:pPr>
    </w:p>
    <w:p w:rsidR="00C848D9" w:rsidRDefault="00C848D9" w:rsidP="00C848D9">
      <w:pPr>
        <w:pStyle w:val="ad"/>
        <w:numPr>
          <w:ilvl w:val="0"/>
          <w:numId w:val="1"/>
        </w:numPr>
        <w:spacing w:line="240" w:lineRule="auto"/>
        <w:jc w:val="both"/>
        <w:rPr>
          <w:rFonts w:ascii="David" w:hAnsi="David" w:cs="David"/>
          <w:b/>
          <w:bCs/>
          <w:sz w:val="24"/>
          <w:szCs w:val="24"/>
          <w:rtl/>
        </w:rPr>
      </w:pPr>
      <w:r>
        <w:rPr>
          <w:rFonts w:ascii="David" w:hAnsi="David" w:cs="David"/>
          <w:b/>
          <w:bCs/>
          <w:sz w:val="24"/>
          <w:szCs w:val="24"/>
          <w:rtl/>
        </w:rPr>
        <w:t>למעלה מן הצורך, אתייחס לטיעון המשיב לפיו הזכות להגשת טיעונים משלימים ניתנה לצדדים בחוסר סמכות. כאמור, לצורך דיון והכרעה בשאלה האם הטענה להפרה של כללי האתיקה מצריכה פנייה ללשכת עורכי הדין או לאו, בסמכותי להורות לצדדים להגיש טיעוניהם ולנמק בהתאם (ר' גם ברמ"ש 69025-05-24, עמ' 6 ש' 40-37).</w:t>
      </w:r>
    </w:p>
    <w:p w:rsidR="00C848D9" w:rsidRDefault="00C848D9" w:rsidP="00C848D9">
      <w:pPr>
        <w:pStyle w:val="ad"/>
        <w:spacing w:line="240" w:lineRule="auto"/>
        <w:ind w:left="644"/>
        <w:jc w:val="both"/>
        <w:rPr>
          <w:rFonts w:ascii="David" w:hAnsi="David" w:cs="David"/>
          <w:b/>
          <w:bCs/>
          <w:sz w:val="24"/>
          <w:szCs w:val="24"/>
        </w:rPr>
      </w:pPr>
    </w:p>
    <w:p w:rsidR="00C848D9" w:rsidRDefault="00C848D9" w:rsidP="00C848D9">
      <w:pPr>
        <w:pStyle w:val="ad"/>
        <w:numPr>
          <w:ilvl w:val="0"/>
          <w:numId w:val="1"/>
        </w:numPr>
        <w:spacing w:line="240" w:lineRule="auto"/>
        <w:jc w:val="both"/>
        <w:rPr>
          <w:rFonts w:ascii="David" w:hAnsi="David" w:cs="David"/>
          <w:b/>
          <w:bCs/>
          <w:sz w:val="24"/>
          <w:szCs w:val="24"/>
        </w:rPr>
      </w:pPr>
      <w:r>
        <w:rPr>
          <w:rFonts w:ascii="David" w:hAnsi="David" w:cs="David"/>
          <w:b/>
          <w:bCs/>
          <w:color w:val="000000"/>
          <w:sz w:val="24"/>
          <w:szCs w:val="24"/>
          <w:rtl/>
        </w:rPr>
        <w:t xml:space="preserve">כלל 14(א) לכללי האתיקה קובע כי "לא ייצג עוה"ד לקוח, לא יקבל על עצמו לייצגו ולא ימשיך בייצוגו....בשל עניין אישי שלו או חובת נאמנות שיש לו כלפי אחר". </w:t>
      </w:r>
      <w:r>
        <w:rPr>
          <w:rFonts w:ascii="David" w:hAnsi="David" w:cs="David"/>
          <w:b/>
          <w:bCs/>
          <w:sz w:val="24"/>
          <w:szCs w:val="24"/>
          <w:rtl/>
        </w:rPr>
        <w:t xml:space="preserve">טענתו של המשיב כי המקרה בעניינו אינו בא בגדרי החריגים המצדיקים פסילה מייצוג בתיק אינה נכונה, שהרי על אף שלא ייצג את המבקשים ולכן צודק הוא כי אינו חב להם דבר, המשיב חוטא לכלל הגדול, לפיו בתיקי עיזבון לקוח-העל אשר נמצא בפני בית המשפט הוא המנוח. במקרה דנן, המנוחה נתנה את אמונה במשיב כעורך דינה בעריכת צוואתה כמי שאמון על שמירת האינטרסים שלה והבאתם לידי קיום. כאשר המשיב מייצג את המבקשים, הוא, כדבריו שלו בבואו לתאר את המקרים החריגים המצדיקים פסילה "עו"ד הנגוע בייצוג צד בניגוד אינטרסים עם </w:t>
      </w:r>
      <w:r>
        <w:rPr>
          <w:rFonts w:ascii="David" w:hAnsi="David" w:cs="David"/>
          <w:b/>
          <w:bCs/>
          <w:sz w:val="24"/>
          <w:szCs w:val="24"/>
          <w:u w:val="single"/>
          <w:rtl/>
        </w:rPr>
        <w:t>צד שכנגד שאיתו עבד בעבר</w:t>
      </w:r>
      <w:r>
        <w:rPr>
          <w:rFonts w:ascii="David" w:hAnsi="David" w:cs="David"/>
          <w:b/>
          <w:bCs/>
          <w:sz w:val="24"/>
          <w:szCs w:val="24"/>
          <w:rtl/>
        </w:rPr>
        <w:t xml:space="preserve">"  - צד זה הוא המנוחה. מכאן, כי המשיב נמצא מפר את חובת הנאמנות שלו כלפי המנוחה (הווה אומר, את כלל 14(א) לכללי האתיקה), ואף נמצא מועל בתפקידו כ- </w:t>
      </w:r>
      <w:r>
        <w:rPr>
          <w:rFonts w:ascii="David" w:hAnsi="David" w:cs="David"/>
          <w:b/>
          <w:bCs/>
          <w:sz w:val="24"/>
          <w:szCs w:val="24"/>
        </w:rPr>
        <w:t>Officer of the Court</w:t>
      </w:r>
      <w:r>
        <w:rPr>
          <w:rFonts w:ascii="David" w:hAnsi="David" w:cs="David"/>
          <w:b/>
          <w:bCs/>
          <w:sz w:val="24"/>
          <w:szCs w:val="24"/>
          <w:rtl/>
        </w:rPr>
        <w:t>, מפני שהוא קיבל על עצמו לייצג את המתנגדים לצוואתה אשר ערך והכשיר בחתימת ידו.</w:t>
      </w:r>
    </w:p>
    <w:p w:rsidR="00C848D9" w:rsidRDefault="00C848D9" w:rsidP="00C848D9">
      <w:pPr>
        <w:pStyle w:val="ad"/>
        <w:spacing w:line="240" w:lineRule="auto"/>
        <w:ind w:left="644"/>
        <w:jc w:val="both"/>
        <w:rPr>
          <w:rFonts w:ascii="David" w:hAnsi="David" w:cs="David"/>
          <w:b/>
          <w:bCs/>
          <w:sz w:val="24"/>
          <w:szCs w:val="24"/>
          <w:rtl/>
        </w:rPr>
      </w:pPr>
    </w:p>
    <w:p w:rsidR="00C848D9" w:rsidRDefault="00C848D9" w:rsidP="00C848D9">
      <w:pPr>
        <w:pStyle w:val="ad"/>
        <w:numPr>
          <w:ilvl w:val="0"/>
          <w:numId w:val="1"/>
        </w:numPr>
        <w:spacing w:line="240" w:lineRule="auto"/>
        <w:jc w:val="both"/>
        <w:rPr>
          <w:rFonts w:ascii="David" w:hAnsi="David" w:cs="David"/>
          <w:b/>
          <w:bCs/>
          <w:sz w:val="24"/>
          <w:szCs w:val="24"/>
        </w:rPr>
      </w:pPr>
      <w:r>
        <w:rPr>
          <w:rFonts w:ascii="David" w:hAnsi="David" w:cs="David"/>
          <w:b/>
          <w:bCs/>
          <w:color w:val="000000"/>
          <w:sz w:val="24"/>
          <w:szCs w:val="24"/>
          <w:rtl/>
        </w:rPr>
        <w:t xml:space="preserve"> כלל 15 לכללי האתיקה קובע כי "עורך הדין שערך מסמך או השתתף בעריכתו, או שטיפל בעסקה או שהשתתף בטיפול בה, לא יטען לאחר מכן נגד כשרות המסמך או העסקה, ולא ייצג אדם שעניינו מחייב, באופן סביר, טענה כאמור".</w:t>
      </w:r>
      <w:r>
        <w:rPr>
          <w:rFonts w:ascii="David" w:hAnsi="David" w:cs="David"/>
          <w:b/>
          <w:bCs/>
          <w:sz w:val="24"/>
          <w:szCs w:val="24"/>
          <w:rtl/>
        </w:rPr>
        <w:t xml:space="preserve"> המשיב איננו חולק על כך שערך את צוואת המנוחה, וכן אין חולק על כך שהוא מייצג את המתנגדים אשר עניינם מחייב, באופן סביר, טענה לאי כשרות הצוואה אותה ערך בעצמו. לעניין זה טוען המשיב להגנתו כי אינו </w:t>
      </w:r>
      <w:r>
        <w:rPr>
          <w:rFonts w:ascii="David" w:hAnsi="David" w:cs="David"/>
          <w:b/>
          <w:bCs/>
          <w:sz w:val="24"/>
          <w:szCs w:val="24"/>
          <w:rtl/>
        </w:rPr>
        <w:lastRenderedPageBreak/>
        <w:t>מכחיש שצוואת המנוחה כשרה צורנית ולכן עדותו מתייתרת. בכך, כידוע, לא ניתן להסתפק וכאשר דנים בתוקפה של צוואה נבחנות הן צורתה והן תוכנה. מכאן, שהמשיב נמצא מפר גם את כלל 15 לכללי האתיקה וכל בר דעת מבין כי עדות המשיב נדרשת בהליך זה.</w:t>
      </w:r>
    </w:p>
    <w:p w:rsidR="00C848D9" w:rsidRDefault="00C848D9" w:rsidP="00C848D9">
      <w:pPr>
        <w:pStyle w:val="ad"/>
        <w:spacing w:line="240" w:lineRule="auto"/>
        <w:rPr>
          <w:rFonts w:ascii="David" w:hAnsi="David" w:cs="David"/>
          <w:b/>
          <w:bCs/>
          <w:sz w:val="24"/>
          <w:szCs w:val="24"/>
        </w:rPr>
      </w:pPr>
    </w:p>
    <w:p w:rsidR="00C848D9" w:rsidRDefault="00C848D9" w:rsidP="00C848D9">
      <w:pPr>
        <w:pStyle w:val="ad"/>
        <w:spacing w:line="240" w:lineRule="auto"/>
        <w:ind w:left="644"/>
        <w:jc w:val="both"/>
        <w:rPr>
          <w:rFonts w:ascii="David" w:hAnsi="David" w:cs="David"/>
          <w:b/>
          <w:bCs/>
          <w:sz w:val="24"/>
          <w:szCs w:val="24"/>
        </w:rPr>
      </w:pPr>
    </w:p>
    <w:p w:rsidR="00C848D9" w:rsidRDefault="00C848D9" w:rsidP="00C848D9">
      <w:pPr>
        <w:pStyle w:val="ad"/>
        <w:numPr>
          <w:ilvl w:val="0"/>
          <w:numId w:val="1"/>
        </w:numPr>
        <w:spacing w:line="240" w:lineRule="auto"/>
        <w:jc w:val="both"/>
        <w:rPr>
          <w:rFonts w:ascii="David" w:hAnsi="David" w:cs="David"/>
          <w:b/>
          <w:bCs/>
          <w:sz w:val="24"/>
          <w:szCs w:val="24"/>
          <w:rtl/>
        </w:rPr>
      </w:pPr>
      <w:r>
        <w:rPr>
          <w:rFonts w:ascii="David" w:hAnsi="David" w:cs="David"/>
          <w:b/>
          <w:bCs/>
          <w:sz w:val="24"/>
          <w:szCs w:val="24"/>
          <w:rtl/>
        </w:rPr>
        <w:t>מן המקובץ, מסקנתי היא כי יש בסמכותי להכריע בשאלת הפסילה גם בלי להיזקק לפנייה ללשכת עורכי הדין וכי מבירור הטענות עולה באופן מובהק כי יש לפסול את המשיב מייצוג המתנגדים בהליך שבפניי.   "</w:t>
      </w:r>
    </w:p>
    <w:p w:rsidR="00C848D9" w:rsidRDefault="00C848D9" w:rsidP="00C848D9">
      <w:pPr>
        <w:jc w:val="both"/>
        <w:rPr>
          <w:rFonts w:ascii="David" w:hAnsi="David"/>
          <w:b/>
          <w:bCs/>
        </w:rPr>
      </w:pPr>
    </w:p>
    <w:p w:rsidR="00C848D9" w:rsidRDefault="00C848D9" w:rsidP="00C848D9">
      <w:pPr>
        <w:spacing w:line="360" w:lineRule="auto"/>
        <w:jc w:val="both"/>
        <w:rPr>
          <w:rFonts w:ascii="David" w:hAnsi="David"/>
          <w:rtl/>
        </w:rPr>
      </w:pPr>
    </w:p>
    <w:p w:rsidR="00C848D9" w:rsidRDefault="00C848D9" w:rsidP="00C848D9">
      <w:pPr>
        <w:spacing w:line="360" w:lineRule="auto"/>
        <w:jc w:val="both"/>
        <w:rPr>
          <w:rFonts w:ascii="David" w:hAnsi="David"/>
          <w:rtl/>
        </w:rPr>
      </w:pPr>
      <w:r>
        <w:rPr>
          <w:rFonts w:ascii="David" w:hAnsi="David"/>
          <w:rtl/>
        </w:rPr>
        <w:t xml:space="preserve">על החלטה זו מלינים המבקשים בבקשת רשות הערעור שלפניי. </w:t>
      </w:r>
    </w:p>
    <w:p w:rsidR="00C848D9" w:rsidRDefault="00C848D9" w:rsidP="00C848D9">
      <w:pPr>
        <w:spacing w:line="360" w:lineRule="auto"/>
        <w:jc w:val="both"/>
        <w:rPr>
          <w:rFonts w:ascii="David" w:hAnsi="David"/>
          <w:rtl/>
        </w:rPr>
      </w:pPr>
    </w:p>
    <w:p w:rsidR="00C848D9" w:rsidRDefault="00C848D9" w:rsidP="00C848D9">
      <w:pPr>
        <w:spacing w:line="360" w:lineRule="auto"/>
        <w:jc w:val="both"/>
        <w:rPr>
          <w:rFonts w:ascii="David" w:hAnsi="David"/>
          <w:rtl/>
        </w:rPr>
      </w:pPr>
      <w:r>
        <w:rPr>
          <w:rFonts w:ascii="David" w:hAnsi="David"/>
          <w:rtl/>
        </w:rPr>
        <w:t>במסגרת הבקשה חוזר המבקש על טענותיו שנטענו לפני ביהמ"ש קמא. המבקש מדגיש כי טענותיו לאי כשירות המצווה נבעו מראיות שהתגלו לו מאוחר יותר למועד עריכת הצוואה. כל הצוואות שנערכו במשרדו, לרבות הצוואה שבמחלוקת, שלמות ותקינות מבחינת צורתן ותוכנן, הגם שמאשר כי "</w:t>
      </w:r>
      <w:r>
        <w:rPr>
          <w:rFonts w:ascii="David" w:hAnsi="David"/>
          <w:b/>
          <w:bCs/>
          <w:rtl/>
        </w:rPr>
        <w:t>קיננו בי חשדות ללא ראיות, אשר לא אפשרו לי למנוע את עריכת הצוואות</w:t>
      </w:r>
      <w:r>
        <w:rPr>
          <w:rFonts w:ascii="David" w:hAnsi="David"/>
          <w:rtl/>
        </w:rPr>
        <w:t xml:space="preserve">". המבקש טוען כי </w:t>
      </w:r>
      <w:r>
        <w:rPr>
          <w:rFonts w:ascii="David" w:hAnsi="David"/>
          <w:b/>
          <w:bCs/>
          <w:rtl/>
        </w:rPr>
        <w:t>"אין מושג של כשרות צוואה, אלא מושג של כשרות המצווה</w:t>
      </w:r>
      <w:r>
        <w:rPr>
          <w:rFonts w:ascii="David" w:hAnsi="David"/>
          <w:rtl/>
        </w:rPr>
        <w:t>" וכי גם צוואה תקינה עשויה להיפסל אם ביהמ"ש שוכנע ע"פ עדות מומחים ועובדות כי המצווה היה בלתי כשיר או נוצל ונעשק. המבקש טוען כי אין בכוונתו להעיד בהליך מטעם מרשיו וכי "</w:t>
      </w:r>
      <w:r>
        <w:rPr>
          <w:rFonts w:ascii="David" w:hAnsi="David"/>
          <w:b/>
          <w:bCs/>
          <w:rtl/>
        </w:rPr>
        <w:t>יש די והותר עדים</w:t>
      </w:r>
      <w:r>
        <w:rPr>
          <w:rFonts w:ascii="David" w:hAnsi="David"/>
          <w:rtl/>
        </w:rPr>
        <w:t>" וכי "</w:t>
      </w:r>
      <w:r>
        <w:rPr>
          <w:rFonts w:ascii="David" w:hAnsi="David"/>
          <w:b/>
          <w:bCs/>
          <w:rtl/>
        </w:rPr>
        <w:t>עדות עורך דין על נסיבות עריכת צוואה תקינה מבחינה צורנית חסרת מישקל. רק עדויות מומחים יחשפו את כשירות המצווה, ולא מפגש קצר עם עו"ד חסר מיומנות מקצועית בתורת הנפש והרפואה".</w:t>
      </w:r>
      <w:r>
        <w:rPr>
          <w:rFonts w:ascii="David" w:hAnsi="David"/>
          <w:rtl/>
        </w:rPr>
        <w:t xml:space="preserve"> המבקש טוען כי ביהמ"ש קמא שגה בקביעתו לפיה המנוחה היא "לקוח העל" וכי ביהמ"ש קמא נמנע מלהזכיר כי במסגרת תפקידו, פנה עוד בחיי המנוחה ליו"ר ועדת האתיקה בלשכת עוה"ד בפנייה מיום 22.1.15 וקיבל את אישור החלטת האתיקה שעל פיה פעל לטובת המנוחה. המבקש טוען כי אין לו כל ניגוד אינטרסים עם המנוחה וכי פעולותיו נעשו על-פי רשות ועדת האתיקה של לשכת עוה"ד וגרמו להשבת כספים למנוחה ולהצלתה מעריכת צוואות נוספות.</w:t>
      </w:r>
    </w:p>
    <w:p w:rsidR="00C848D9" w:rsidRDefault="00C848D9" w:rsidP="00C848D9">
      <w:pPr>
        <w:spacing w:line="360" w:lineRule="auto"/>
        <w:jc w:val="both"/>
        <w:rPr>
          <w:rFonts w:ascii="David" w:hAnsi="David"/>
          <w:rtl/>
        </w:rPr>
      </w:pPr>
    </w:p>
    <w:p w:rsidR="00C848D9" w:rsidRDefault="00C848D9" w:rsidP="00C848D9">
      <w:pPr>
        <w:spacing w:line="360" w:lineRule="auto"/>
        <w:jc w:val="both"/>
        <w:rPr>
          <w:rFonts w:ascii="David" w:hAnsi="David"/>
          <w:rtl/>
        </w:rPr>
      </w:pPr>
    </w:p>
    <w:p w:rsidR="00C848D9" w:rsidRDefault="00C848D9" w:rsidP="00C848D9">
      <w:pPr>
        <w:spacing w:line="360" w:lineRule="auto"/>
        <w:jc w:val="both"/>
        <w:rPr>
          <w:rFonts w:ascii="David" w:hAnsi="David"/>
          <w:rtl/>
        </w:rPr>
      </w:pPr>
      <w:r>
        <w:rPr>
          <w:rFonts w:ascii="David" w:hAnsi="David"/>
          <w:rtl/>
        </w:rPr>
        <w:t>לבקשת רשות הערעור התבקשה תשובת המשיבים וזו הוגשה ביום 4.9.24. המשיבים בתשובתם סומכים ידיהם על החלטת ביהמ"ש קמא ונימוקיה.</w:t>
      </w:r>
    </w:p>
    <w:p w:rsidR="00C848D9" w:rsidRDefault="00C848D9" w:rsidP="00C848D9">
      <w:pPr>
        <w:spacing w:line="360" w:lineRule="auto"/>
        <w:jc w:val="both"/>
        <w:rPr>
          <w:rFonts w:ascii="David" w:hAnsi="David"/>
          <w:rtl/>
        </w:rPr>
      </w:pPr>
    </w:p>
    <w:p w:rsidR="00C848D9" w:rsidRDefault="00C848D9" w:rsidP="00C848D9">
      <w:pPr>
        <w:spacing w:line="360" w:lineRule="auto"/>
        <w:jc w:val="both"/>
        <w:rPr>
          <w:rFonts w:ascii="David" w:hAnsi="David"/>
          <w:rtl/>
        </w:rPr>
      </w:pPr>
    </w:p>
    <w:p w:rsidR="00C848D9" w:rsidRDefault="00C848D9" w:rsidP="00C848D9">
      <w:pPr>
        <w:spacing w:line="360" w:lineRule="auto"/>
        <w:jc w:val="both"/>
        <w:rPr>
          <w:rFonts w:ascii="David" w:hAnsi="David"/>
          <w:b/>
          <w:bCs/>
          <w:u w:val="single"/>
          <w:rtl/>
        </w:rPr>
      </w:pPr>
      <w:r>
        <w:rPr>
          <w:rFonts w:ascii="David" w:hAnsi="David"/>
          <w:b/>
          <w:bCs/>
          <w:u w:val="single"/>
          <w:rtl/>
        </w:rPr>
        <w:t>דיון והכרעה</w:t>
      </w:r>
    </w:p>
    <w:p w:rsidR="00C848D9" w:rsidRDefault="00C848D9" w:rsidP="00C848D9">
      <w:pPr>
        <w:spacing w:line="360" w:lineRule="auto"/>
        <w:jc w:val="both"/>
        <w:rPr>
          <w:rFonts w:ascii="David" w:hAnsi="David"/>
          <w:rtl/>
        </w:rPr>
      </w:pPr>
    </w:p>
    <w:p w:rsidR="00C848D9" w:rsidRDefault="00C848D9" w:rsidP="00C848D9">
      <w:pPr>
        <w:spacing w:line="360" w:lineRule="auto"/>
        <w:jc w:val="both"/>
        <w:rPr>
          <w:rFonts w:ascii="David" w:hAnsi="David"/>
          <w:rtl/>
        </w:rPr>
      </w:pPr>
    </w:p>
    <w:p w:rsidR="00C848D9" w:rsidRDefault="00C848D9" w:rsidP="00C848D9">
      <w:pPr>
        <w:spacing w:line="360" w:lineRule="auto"/>
        <w:jc w:val="both"/>
        <w:rPr>
          <w:rFonts w:ascii="David" w:hAnsi="David"/>
          <w:rtl/>
        </w:rPr>
      </w:pPr>
      <w:r>
        <w:rPr>
          <w:rFonts w:ascii="David" w:hAnsi="David"/>
          <w:rtl/>
        </w:rPr>
        <w:t xml:space="preserve">מכוח סמכותי לפי הוראת סעיף 149(2)(ב) לתקנות סדר הדין האזרחי, התשע"ט-2018, אני מחליט לדון בבקשה כאילו ניתנה רשות והוגש ערעור לפי הרשות שניתנה. לאחר שבחנתי את טענות הצדדים </w:t>
      </w:r>
      <w:r>
        <w:rPr>
          <w:rFonts w:ascii="David" w:hAnsi="David"/>
          <w:rtl/>
        </w:rPr>
        <w:lastRenderedPageBreak/>
        <w:t>כפי שהובאו לפניי בכתב בבקשת רשות הערעור ובתשובה, על הנספחים שצורפו לבקשה, החלטתי לדחות את הערעור.</w:t>
      </w:r>
    </w:p>
    <w:p w:rsidR="00C848D9" w:rsidRDefault="00C848D9" w:rsidP="00C848D9">
      <w:pPr>
        <w:spacing w:line="360" w:lineRule="auto"/>
        <w:jc w:val="both"/>
        <w:rPr>
          <w:rFonts w:ascii="David" w:hAnsi="David"/>
          <w:rtl/>
        </w:rPr>
      </w:pPr>
    </w:p>
    <w:p w:rsidR="00C848D9" w:rsidRDefault="00C848D9" w:rsidP="00C848D9">
      <w:pPr>
        <w:spacing w:line="360" w:lineRule="auto"/>
        <w:jc w:val="both"/>
        <w:rPr>
          <w:rFonts w:ascii="David" w:hAnsi="David"/>
          <w:rtl/>
        </w:rPr>
      </w:pPr>
      <w:r>
        <w:rPr>
          <w:rFonts w:ascii="David" w:hAnsi="David"/>
          <w:rtl/>
        </w:rPr>
        <w:t xml:space="preserve">לא מצאתי מקום לדון ולבחון כל נימוק ונימוק שהובא בהחלטת ביהמ"ש קמא, זאת משום </w:t>
      </w:r>
      <w:r>
        <w:rPr>
          <w:rFonts w:ascii="David" w:hAnsi="David"/>
          <w:b/>
          <w:bCs/>
          <w:rtl/>
        </w:rPr>
        <w:t>שהתוצאה</w:t>
      </w:r>
      <w:r>
        <w:rPr>
          <w:rFonts w:ascii="David" w:hAnsi="David"/>
          <w:rtl/>
        </w:rPr>
        <w:t xml:space="preserve"> לה הגיע ביהמ"ש קמא מקובלת עליי ואני סבור כי אין להתערב בה, מהטעמים הבאים:</w:t>
      </w:r>
    </w:p>
    <w:p w:rsidR="00C848D9" w:rsidRDefault="00C848D9" w:rsidP="00C848D9">
      <w:pPr>
        <w:spacing w:line="360" w:lineRule="auto"/>
        <w:jc w:val="both"/>
        <w:rPr>
          <w:rFonts w:ascii="David" w:hAnsi="David"/>
          <w:rtl/>
        </w:rPr>
      </w:pPr>
    </w:p>
    <w:p w:rsidR="00C848D9" w:rsidRDefault="00C848D9" w:rsidP="00AB70CF">
      <w:pPr>
        <w:spacing w:line="360" w:lineRule="auto"/>
        <w:jc w:val="both"/>
        <w:rPr>
          <w:rFonts w:ascii="David" w:hAnsi="David"/>
          <w:rtl/>
        </w:rPr>
      </w:pPr>
      <w:r>
        <w:rPr>
          <w:rFonts w:ascii="David" w:hAnsi="David"/>
          <w:rtl/>
        </w:rPr>
        <w:t xml:space="preserve">א. בכל הנוגע לחלקה הראשון של ההחלטה, קביעת ביהמ"ש קמא לפיה קיימת הצדקה לדון בטענת המשיבים להפרת כללי האתיקה ע"י המבקש ללא פנייה ללשכת עוה"ד לקבלת חוו"ד, וזאת תוך יישום  התנאים שנקבעו ברע"א 9930/17 </w:t>
      </w:r>
      <w:r>
        <w:rPr>
          <w:rFonts w:ascii="David" w:hAnsi="David"/>
          <w:b/>
          <w:bCs/>
          <w:rtl/>
        </w:rPr>
        <w:t xml:space="preserve">– </w:t>
      </w:r>
      <w:r>
        <w:rPr>
          <w:rFonts w:ascii="David" w:hAnsi="David"/>
          <w:rtl/>
        </w:rPr>
        <w:t>בקשת רשות הערעור אינה מגלה כל טיעון סדור המצדיק העמדת קביעות ביהמ"ש קמא בעניין זה במבחן הביקורת הערעורית.יצויין כי המבקש אף לא עתר במסגרת בקשת רשות הערעור שלפניי להעברת המחלוקת בשאלה אם בוצעה הפרה של כללי האתיקה ללשכת עוה"ד לצורך קבלת חוות דעת. המבקש לא מצא לנכון, חרף העובדה שמייצג את המבקשים 2-4 כבר מספר שנים וההתנגדות לצוואה מושא עניינו הוגשה על-ידו בשם מרשיו לפני כחצי שנה, לפנות בעניין מיוזמתו לועדת האתיקה בלשכת עוה"ד לקבלת חוות דעת מקדימה לפי סעיף 60א לחוק לשכת עוה"ד, תשכ"א-1961, הגם שידע לעשות כן בעבר. בדומה למה שטען המבקש לפני ביהמ"ש קמא טוען המבקש גם בבקשת רשות הערעור שלפניי  כי "</w:t>
      </w:r>
      <w:r>
        <w:rPr>
          <w:rFonts w:ascii="David" w:hAnsi="David"/>
          <w:b/>
          <w:bCs/>
          <w:rtl/>
        </w:rPr>
        <w:t xml:space="preserve">ועדת האתיקה בלשכת עוה"ד אישרה את פעולותיי, ובית המשפט קמא מתחמק מלהתמודד עם לשכת עוה"ד". </w:t>
      </w:r>
      <w:r>
        <w:rPr>
          <w:rFonts w:ascii="David" w:hAnsi="David"/>
          <w:rtl/>
        </w:rPr>
        <w:t>כעולה מאותה פנייה לה מכוון המבקש (נספח א'1 לטיעוני המבקש בביהמ"ש קמא) זו הוגשה לועדת האתיקה ביום 22.1.15 ובמסגרתה ביקש המבקש את עמדת ועדת האתיקה "</w:t>
      </w:r>
      <w:r>
        <w:rPr>
          <w:rFonts w:ascii="David" w:hAnsi="David"/>
          <w:b/>
          <w:bCs/>
          <w:rtl/>
        </w:rPr>
        <w:t>בעניין פנייה למשטרת ישראל חקירות הונאה</w:t>
      </w:r>
      <w:r>
        <w:rPr>
          <w:rFonts w:ascii="David" w:hAnsi="David"/>
          <w:rtl/>
        </w:rPr>
        <w:t xml:space="preserve">" לאחר שמטעמים אותם נימק בפנייתו הגיע למסקנה כי לקוחתו (המנוחה. שהייתה אז בין החיים) שערכה בפניו מספר צוואות </w:t>
      </w:r>
      <w:r>
        <w:rPr>
          <w:rFonts w:ascii="David" w:hAnsi="David"/>
          <w:b/>
          <w:bCs/>
          <w:rtl/>
        </w:rPr>
        <w:t>" אינה כשירה מבחינה משפטית לצוות</w:t>
      </w:r>
      <w:r>
        <w:rPr>
          <w:rFonts w:ascii="David" w:hAnsi="David"/>
          <w:rtl/>
        </w:rPr>
        <w:t>", כי צוואות אותן ערכה בפניו לא נעשו מרצונה החופשי ולאור חששו כי היא תילקח לעו"ד אחר ותוחתם על "</w:t>
      </w:r>
      <w:r>
        <w:rPr>
          <w:rFonts w:ascii="David" w:hAnsi="David"/>
          <w:b/>
          <w:bCs/>
          <w:rtl/>
        </w:rPr>
        <w:t>צוואה חדשה מתוך כוונה זדונית להשתלט כליל על רכושה</w:t>
      </w:r>
      <w:r>
        <w:rPr>
          <w:rFonts w:ascii="David" w:hAnsi="David"/>
          <w:rtl/>
        </w:rPr>
        <w:t>". השאלה שהפנה המבקש באותה פנייה לועדת האתיקה היא "</w:t>
      </w:r>
      <w:r>
        <w:rPr>
          <w:rFonts w:ascii="David" w:hAnsi="David"/>
          <w:b/>
          <w:bCs/>
          <w:rtl/>
        </w:rPr>
        <w:t>האם אני רשאי לפנות למשטרת ישראל וליזום חקירה על עושק של הלקוחה חסרת הישע ואם כן מה מתוך המידע שבידי מותר לי לחשוף בפני חוקרי משטרת ישראל</w:t>
      </w:r>
      <w:r>
        <w:rPr>
          <w:rFonts w:ascii="David" w:hAnsi="David"/>
          <w:rtl/>
        </w:rPr>
        <w:t>".  מענה לפניית המבקש ניתן ע"י ועדת האתיקה בתוך ימים ספורים ( 26.1.15) תוך שבמסגרתה הוצע לו קודם כל לפנות לאפוטרופוס הכללי במשרד המשפטים ולעובדת הסוציאלית במקום מגוריה של לקוחתו הקשישה והוצע כי רק אם פניות אלו לא ישאו פרי יפנה מיוזמתו למשטרת ישראל. פניית המבקש אמנם עסקה בעניין לקוחתו (המנוחה) ונגעה גם לצוואה אותה ערך עבורה. ברם,  היא לא עסקה בסוגייה מתחום האתיקה בה נדרש ביהמ"ש קמא לעסוק – האם  כיום, לאחר פטירת המנוחה, רשאי המבקש לייצג את המתנגדים לאותה צוואה שהוא ערך שהוגשה לקיום , ולטעון, בשמם, את הטענות כנגד תוקפה של הצו</w:t>
      </w:r>
      <w:r w:rsidR="00AB70CF">
        <w:rPr>
          <w:rFonts w:ascii="David" w:hAnsi="David"/>
          <w:rtl/>
        </w:rPr>
        <w:t>ואה. לפיכך אין בה כדי להו</w:t>
      </w:r>
      <w:r w:rsidR="00AB70CF">
        <w:rPr>
          <w:rFonts w:ascii="David" w:hAnsi="David" w:hint="cs"/>
          <w:rtl/>
        </w:rPr>
        <w:t>ע</w:t>
      </w:r>
      <w:r>
        <w:rPr>
          <w:rFonts w:ascii="David" w:hAnsi="David"/>
          <w:rtl/>
        </w:rPr>
        <w:t>יל למבקש במחלוקת מושא דיוננו.</w:t>
      </w:r>
    </w:p>
    <w:p w:rsidR="00C848D9" w:rsidRDefault="00C848D9" w:rsidP="00C848D9">
      <w:pPr>
        <w:spacing w:line="360" w:lineRule="auto"/>
        <w:jc w:val="both"/>
        <w:rPr>
          <w:rFonts w:ascii="David" w:hAnsi="David"/>
          <w:rtl/>
        </w:rPr>
      </w:pPr>
    </w:p>
    <w:p w:rsidR="00C848D9" w:rsidRDefault="00C848D9" w:rsidP="00C848D9">
      <w:pPr>
        <w:spacing w:line="360" w:lineRule="auto"/>
        <w:jc w:val="both"/>
        <w:rPr>
          <w:rFonts w:ascii="David" w:hAnsi="David"/>
          <w:rtl/>
        </w:rPr>
      </w:pPr>
      <w:r>
        <w:rPr>
          <w:rFonts w:ascii="David" w:hAnsi="David"/>
          <w:rtl/>
        </w:rPr>
        <w:t xml:space="preserve">ב. קביעת ביהמ"ש קמא כי המבקש הפר את כלל 15 לכללי האתיקה , על נימוקיה (כפי שהובאו בס' 14 להחלטה) מקובלת עליי במלואה. ההבחנה שמבקש המבקש לעשות בין תקיפת מסמך הצוואה </w:t>
      </w:r>
      <w:r>
        <w:rPr>
          <w:rFonts w:ascii="David" w:hAnsi="David"/>
          <w:rtl/>
        </w:rPr>
        <w:lastRenderedPageBreak/>
        <w:t>מטעמים של פגמים צורניים (שלהבנתו של המבקש היא שאסורה עליו לפי כלל 15 לכלל האתיקה) לבין תקיפת הצוואה מטעמים של פגמים ברצון לקוחתו לשעבר, המנוחה, במסגרת ההתנגדות שהגיש מטעם לקוחותיו הנוכחיים (שלהבנתו על כך לא חל האיסור לפי כלל 15 לכלל האתיקה) אינה מקובלת עליי, והמבקש לא הביא כל פסיקה או ספרות משפטית התומכת בעמדתו. לשון הכלל אינה תחומה רק לטענות כלפי פגמים צורניים שנפלו במסמך שנערך ע"י עו"ד :</w:t>
      </w:r>
      <w:r>
        <w:rPr>
          <w:rFonts w:ascii="David" w:hAnsi="David"/>
          <w:b/>
          <w:bCs/>
          <w:color w:val="000000"/>
          <w:rtl/>
        </w:rPr>
        <w:t xml:space="preserve"> עורך הדין שערך מסמך או השתתף בעריכתו, או שטיפל בעסקה או שהשתתף בטיפול בה, </w:t>
      </w:r>
      <w:r>
        <w:rPr>
          <w:rFonts w:ascii="David" w:hAnsi="David"/>
          <w:b/>
          <w:bCs/>
          <w:color w:val="000000"/>
          <w:u w:val="single"/>
          <w:rtl/>
        </w:rPr>
        <w:t>לא יטען לאחר מכן נגד כשרות המסמך או העסקה</w:t>
      </w:r>
      <w:r>
        <w:rPr>
          <w:rFonts w:ascii="David" w:hAnsi="David"/>
          <w:b/>
          <w:bCs/>
          <w:color w:val="000000"/>
          <w:rtl/>
        </w:rPr>
        <w:t xml:space="preserve">, ולא ייצג אדם שעניינו מחייב, באופן סביר, טענה כאמור </w:t>
      </w:r>
      <w:r>
        <w:rPr>
          <w:rFonts w:ascii="David" w:hAnsi="David"/>
          <w:color w:val="000000"/>
          <w:rtl/>
        </w:rPr>
        <w:t>(הדגשות שלי ש'ש').</w:t>
      </w:r>
      <w:r>
        <w:rPr>
          <w:rFonts w:ascii="David" w:hAnsi="David"/>
          <w:rtl/>
        </w:rPr>
        <w:t xml:space="preserve"> </w:t>
      </w:r>
    </w:p>
    <w:p w:rsidR="00C848D9" w:rsidRDefault="00C848D9" w:rsidP="00C848D9">
      <w:pPr>
        <w:spacing w:line="360" w:lineRule="auto"/>
        <w:jc w:val="both"/>
        <w:rPr>
          <w:rFonts w:ascii="David" w:hAnsi="David"/>
          <w:rtl/>
        </w:rPr>
      </w:pPr>
    </w:p>
    <w:p w:rsidR="00C848D9" w:rsidRDefault="00C848D9" w:rsidP="00C848D9">
      <w:pPr>
        <w:spacing w:line="360" w:lineRule="auto"/>
        <w:jc w:val="both"/>
        <w:rPr>
          <w:rFonts w:ascii="David" w:hAnsi="David"/>
          <w:rtl/>
        </w:rPr>
      </w:pPr>
      <w:r>
        <w:rPr>
          <w:rFonts w:ascii="David" w:hAnsi="David"/>
          <w:rtl/>
        </w:rPr>
        <w:t xml:space="preserve">במקרה שנדון לפני כב' השופט פיליפ מרכוס בת"ע (י-ם) 44080/09 </w:t>
      </w:r>
      <w:r>
        <w:rPr>
          <w:rFonts w:ascii="David" w:hAnsi="David"/>
          <w:b/>
          <w:bCs/>
          <w:u w:val="single"/>
          <w:rtl/>
        </w:rPr>
        <w:t xml:space="preserve">א.א. נ' א.מ ואח' </w:t>
      </w:r>
      <w:r>
        <w:rPr>
          <w:rFonts w:ascii="David" w:hAnsi="David"/>
          <w:rtl/>
        </w:rPr>
        <w:t>(פורסם בנבו 30.8.11). נדחתה בקשה שהוגשה ע"י מתנגד לצוואה להגשת תצהיר של עורכת דין שהייתה מעורבת בהכנת הצוואה, תוך שביהמ"ש הביע עמדתו כי משמתוכנו של התצהיר עולה גרסה לפיה עורכת הדין ערכה את הצוואה תוך השפעה בלתי הוגנת שהופעלה על המצווה וכן לקחה את מסמך הצוואה לאישור נוטריון שלא בנוכחות הצוואה הרי שמדובר בטענה לפסלות המסמך שאסור היה על עורכת הדין להעלות בהתאם לכלל 15 לכללי האתיקה.</w:t>
      </w:r>
    </w:p>
    <w:p w:rsidR="00C848D9" w:rsidRDefault="00C848D9" w:rsidP="00C848D9">
      <w:pPr>
        <w:spacing w:line="360" w:lineRule="auto"/>
        <w:jc w:val="both"/>
        <w:rPr>
          <w:rFonts w:ascii="David" w:hAnsi="David"/>
          <w:rtl/>
        </w:rPr>
      </w:pPr>
    </w:p>
    <w:p w:rsidR="00C848D9" w:rsidRDefault="00C848D9" w:rsidP="00AB70CF">
      <w:pPr>
        <w:spacing w:line="360" w:lineRule="auto"/>
        <w:jc w:val="both"/>
        <w:rPr>
          <w:rFonts w:ascii="David" w:hAnsi="David"/>
          <w:rtl/>
        </w:rPr>
      </w:pPr>
      <w:r>
        <w:rPr>
          <w:rFonts w:ascii="David" w:hAnsi="David"/>
          <w:rtl/>
        </w:rPr>
        <w:t xml:space="preserve">במקרה שנדון בבית הדין המשמעתי המחוזי של לשכת עורכי הדין במחוזי ירושלים בד"מ 32/19 </w:t>
      </w:r>
      <w:r>
        <w:rPr>
          <w:rFonts w:ascii="David" w:hAnsi="David"/>
          <w:b/>
          <w:bCs/>
          <w:u w:val="single"/>
          <w:rtl/>
        </w:rPr>
        <w:t xml:space="preserve">ועדת האתיקה של לשכת עורכי הדין במחוז ירושלים נ' עו"ד אהרון פוגל </w:t>
      </w:r>
      <w:r>
        <w:rPr>
          <w:rFonts w:ascii="David" w:hAnsi="David"/>
          <w:rtl/>
        </w:rPr>
        <w:t xml:space="preserve">(פורסם בנבו 24.12.19) הורשע </w:t>
      </w:r>
      <w:r w:rsidR="00AB70CF">
        <w:rPr>
          <w:rFonts w:ascii="David" w:hAnsi="David"/>
          <w:rtl/>
        </w:rPr>
        <w:t xml:space="preserve">עוה"ד פוגל בעבירה של טיעון נגד </w:t>
      </w:r>
      <w:r>
        <w:rPr>
          <w:rFonts w:ascii="David" w:hAnsi="David"/>
          <w:rtl/>
        </w:rPr>
        <w:t>כשרות מסמך שהשתתף בעריכתו (הפרה של כלל 15 לכללי האתיקה) לאחר שחתם בשם לקוחו על הסכם פשרה, הגיש אותו לאישור ביהמ"ש ומייד לאחר מכן טען כי חתם על ההסכם בשם לקוחו בכפייה ותחת סחיטה מצד הצד השני להסכם. טענת עוה"ד פוגל לפיה אין לראות בטענות שהובאו בהודעת הביטול לפגמים ברצון של שולחו כטענות כנגד כשרות המסמך לא התקבלו. בס' 28 להכרעת הדין ה הפנה ביה"ד המשמעתי למקרה אחר שנדון בבד"מ 28/95 (אותו לא עלה בידי לאתר) שם גם הורשע עו"ד בהפרת כלל 15 לכללי האתיקה לאחר שפנה בבקשה לתת צו מניעה לאסור על ביצוע הסכם פשרה עליו היה חתום בטענה כי הוא ולקוחותיו לא הבינו על מה חתמו.</w:t>
      </w:r>
    </w:p>
    <w:p w:rsidR="00C848D9" w:rsidRDefault="00C848D9" w:rsidP="00C848D9">
      <w:pPr>
        <w:spacing w:line="360" w:lineRule="auto"/>
        <w:jc w:val="both"/>
        <w:rPr>
          <w:rFonts w:ascii="David" w:hAnsi="David"/>
          <w:rtl/>
        </w:rPr>
      </w:pPr>
    </w:p>
    <w:p w:rsidR="00C848D9" w:rsidRDefault="00C848D9" w:rsidP="00C848D9">
      <w:pPr>
        <w:spacing w:line="360" w:lineRule="auto"/>
        <w:jc w:val="both"/>
        <w:rPr>
          <w:rFonts w:ascii="David" w:hAnsi="David"/>
          <w:rtl/>
        </w:rPr>
      </w:pPr>
      <w:r>
        <w:rPr>
          <w:rFonts w:ascii="David" w:hAnsi="David"/>
          <w:rtl/>
        </w:rPr>
        <w:t xml:space="preserve">זה המקום לציין כי  על הכרעת הדין של ביה"ד המשמעתי המחוזי בעניין פוגל הוגש ערעור לבית הדין המשמעתי הארצי של לשכת עורכי הדין וזה נדחה (בד"א 18/20 </w:t>
      </w:r>
      <w:r>
        <w:rPr>
          <w:rFonts w:ascii="David" w:hAnsi="David"/>
          <w:b/>
          <w:bCs/>
          <w:u w:val="single"/>
          <w:rtl/>
        </w:rPr>
        <w:t>עוה"ד אהרון פוגל נ' ועדת האתיקה של מחוז ירושלים של לשכת עוה"ד</w:t>
      </w:r>
      <w:r>
        <w:rPr>
          <w:rFonts w:ascii="David" w:hAnsi="David"/>
          <w:rtl/>
        </w:rPr>
        <w:t xml:space="preserve"> פורסם בנבו, 11.8.20).</w:t>
      </w:r>
    </w:p>
    <w:p w:rsidR="00C848D9" w:rsidRDefault="00C848D9" w:rsidP="00C848D9">
      <w:pPr>
        <w:spacing w:line="360" w:lineRule="auto"/>
        <w:jc w:val="both"/>
        <w:rPr>
          <w:rFonts w:ascii="David" w:hAnsi="David"/>
          <w:rtl/>
        </w:rPr>
      </w:pPr>
    </w:p>
    <w:p w:rsidR="00C848D9" w:rsidRDefault="00C848D9" w:rsidP="00C848D9">
      <w:pPr>
        <w:spacing w:line="360" w:lineRule="auto"/>
        <w:jc w:val="both"/>
        <w:rPr>
          <w:rFonts w:ascii="David" w:hAnsi="David"/>
          <w:rtl/>
        </w:rPr>
      </w:pPr>
      <w:r>
        <w:rPr>
          <w:rFonts w:ascii="David" w:hAnsi="David"/>
          <w:rtl/>
        </w:rPr>
        <w:t xml:space="preserve">ג. מסקנתי בסעיף הקודם כי אין מקום להתערבות בהחלטת ביהמ"ש קמא לפיה המבקש הפר את כלל 15 לכללי האתיקה התחזקה לאחר שעיינתי בצוואת המנוחה </w:t>
      </w:r>
      <w:r>
        <w:rPr>
          <w:rFonts w:ascii="David" w:hAnsi="David" w:hint="cs"/>
          <w:rtl/>
        </w:rPr>
        <w:t>מושא דיוננו</w:t>
      </w:r>
      <w:r>
        <w:rPr>
          <w:rFonts w:ascii="David" w:hAnsi="David"/>
          <w:rtl/>
        </w:rPr>
        <w:t xml:space="preserve"> ובהתנגדות שהוגשה ע"י לקוחותיו הנוכחיים של המבקש, ומטעמים שלא הובאו ע"י ביהמ"ש קמא במסגרת החלטתו. דרישת המחוקק מעדי הקיום לצוואה מסתכמת בכך שלאחר שהמצווה חותם בפניהם על הצוואה ומצהיר בפניהם שזו צוואתו </w:t>
      </w:r>
      <w:r>
        <w:rPr>
          <w:rFonts w:ascii="David" w:hAnsi="David"/>
          <w:b/>
          <w:bCs/>
          <w:rtl/>
        </w:rPr>
        <w:t>"העדים יאשרו באותו מעמד בחתימת ידם על פני הצוואה שהמצווה הצהיר וחתם כאמור</w:t>
      </w:r>
      <w:r>
        <w:rPr>
          <w:rFonts w:ascii="David" w:hAnsi="David"/>
          <w:rtl/>
        </w:rPr>
        <w:t xml:space="preserve">" (ס' 20 לחוק הירושה, תשכ"ה-1965). ברם, בעניינו עולה כי אישור המבקש על גבי </w:t>
      </w:r>
      <w:r>
        <w:rPr>
          <w:rFonts w:ascii="David" w:hAnsi="David"/>
          <w:rtl/>
        </w:rPr>
        <w:lastRenderedPageBreak/>
        <w:t>הצוואה (כמו גם עוה"ד הנוסף ששימש כעד לצוואה והלך לבית עולמו) לא הסתכם בכך והמבקש בחתימתו גם מצא לנכון לא</w:t>
      </w:r>
      <w:r w:rsidR="00B84F26">
        <w:rPr>
          <w:rFonts w:ascii="David" w:hAnsi="David" w:hint="cs"/>
          <w:rtl/>
        </w:rPr>
        <w:t>ש</w:t>
      </w:r>
      <w:r>
        <w:rPr>
          <w:rFonts w:ascii="David" w:hAnsi="David"/>
          <w:rtl/>
        </w:rPr>
        <w:t>ר כי המנוחה חתמה על הצוואה בנוכחותו "</w:t>
      </w:r>
      <w:r>
        <w:rPr>
          <w:rFonts w:ascii="David" w:hAnsi="David"/>
          <w:b/>
          <w:bCs/>
          <w:rtl/>
        </w:rPr>
        <w:t>מרצונה הטוב והחופשי, ללא לחץ, אונס, כורח ו/או השפעה בלתי הוגנת"</w:t>
      </w:r>
      <w:r>
        <w:rPr>
          <w:rFonts w:ascii="David" w:hAnsi="David"/>
          <w:rtl/>
        </w:rPr>
        <w:t xml:space="preserve"> . כעולה מההתנגדות שהגיש המבקש בשם מרשיו כנגד הצוואה, עובדה זו לא מנעה בעדו מלטעון , כטענת התנגדות מהותית, כי הצוואה נערכה תחת </w:t>
      </w:r>
      <w:r>
        <w:rPr>
          <w:rFonts w:ascii="David" w:hAnsi="David"/>
          <w:b/>
          <w:bCs/>
          <w:rtl/>
        </w:rPr>
        <w:t>השפעה בלתי הוגנת</w:t>
      </w:r>
      <w:r>
        <w:rPr>
          <w:rFonts w:ascii="David" w:hAnsi="David"/>
          <w:rtl/>
        </w:rPr>
        <w:t xml:space="preserve"> (פרק ב' להתנגדות) ותוך מעורבות אסורה מצד המשיבים. מן המקובץ עולה כי גם ההבחנה שביקש המבקש לעשות ושאפשרה לו לגרסתו "להלך בין הטיפות" מבלי ליפול בהפרת כלל 15 לכללי האתיקה (עמדה שאותה לא קיבל ביהמ"ש קמא וכאמור אינה מקובלת גם עליי) אינה עומדת במבחן המציאות. בפועל, מעורבותו של המבקש בעריכת מסמך הצוואה ובשימושו כעד לה כללה גם אישור מטעמו כי הצוואה נחתמה ע"י המנוחה ללא השפעה בלתי הוגנת – ובייצוג לקוחותיו הנוכחיים</w:t>
      </w:r>
      <w:r>
        <w:rPr>
          <w:rFonts w:ascii="David" w:hAnsi="David" w:hint="cs"/>
          <w:rtl/>
        </w:rPr>
        <w:t>, המתנגדים לצוואה,</w:t>
      </w:r>
      <w:r>
        <w:rPr>
          <w:rFonts w:ascii="David" w:hAnsi="David"/>
          <w:rtl/>
        </w:rPr>
        <w:t xml:space="preserve"> טו</w:t>
      </w:r>
      <w:r w:rsidR="007E4E04">
        <w:rPr>
          <w:rFonts w:ascii="David" w:hAnsi="David"/>
          <w:rtl/>
        </w:rPr>
        <w:t>ען המבקש במפורש טענה הסותרת זאת</w:t>
      </w:r>
      <w:r w:rsidR="007E4E04">
        <w:rPr>
          <w:rFonts w:ascii="David" w:hAnsi="David" w:hint="cs"/>
          <w:rtl/>
        </w:rPr>
        <w:t>, במטרה להביא לביטולה.</w:t>
      </w:r>
    </w:p>
    <w:p w:rsidR="00C848D9" w:rsidRDefault="00C848D9" w:rsidP="00C848D9">
      <w:pPr>
        <w:spacing w:line="360" w:lineRule="auto"/>
        <w:jc w:val="both"/>
        <w:rPr>
          <w:rFonts w:ascii="David" w:hAnsi="David"/>
          <w:rtl/>
        </w:rPr>
      </w:pPr>
    </w:p>
    <w:p w:rsidR="00C848D9" w:rsidRDefault="00C848D9" w:rsidP="00C848D9">
      <w:pPr>
        <w:spacing w:line="360" w:lineRule="auto"/>
        <w:jc w:val="both"/>
        <w:rPr>
          <w:rFonts w:ascii="David" w:hAnsi="David"/>
          <w:rtl/>
        </w:rPr>
      </w:pPr>
      <w:r>
        <w:rPr>
          <w:rFonts w:ascii="David" w:hAnsi="David"/>
          <w:rtl/>
        </w:rPr>
        <w:t>ד. טענות המבקש כי אין בכוונת לקוחותיו הנוכחיים להביאו לעדות בהליך זה לתמיכה בהתנגדותם וכי לעדותו באשר לנסיבות חתימת הצוואה לא צפוי להיות כל משקל – אינה רלוונטית כלל לשאלה אם הופר כלל 15 לכללי האתיקה. הכלל אוסר טיע</w:t>
      </w:r>
      <w:r w:rsidR="00B84F26">
        <w:rPr>
          <w:rFonts w:ascii="David" w:hAnsi="David" w:hint="cs"/>
          <w:rtl/>
        </w:rPr>
        <w:t>ו</w:t>
      </w:r>
      <w:r>
        <w:rPr>
          <w:rFonts w:ascii="David" w:hAnsi="David"/>
          <w:rtl/>
        </w:rPr>
        <w:t>ן נגד כשרות מסמך או העסקה או ייצוג צד שעניינו מחייב להעלות טענה שכזו. הכלל אינו נוגע לשאלה אם יעיד עוה"ד באותו הליך, מה יעיד ומה המשקל שצפוי להינתן לעדותו. גם טענת המבקש כי בהתנהלותו אינו נמצא ב"</w:t>
      </w:r>
      <w:r>
        <w:rPr>
          <w:rFonts w:ascii="David" w:hAnsi="David"/>
          <w:b/>
          <w:bCs/>
          <w:rtl/>
        </w:rPr>
        <w:t>ניגוד אינטרסים עם המנוחה</w:t>
      </w:r>
      <w:r>
        <w:rPr>
          <w:rFonts w:ascii="David" w:hAnsi="David"/>
          <w:rtl/>
        </w:rPr>
        <w:t>" אינו "</w:t>
      </w:r>
      <w:r>
        <w:rPr>
          <w:rFonts w:ascii="David" w:hAnsi="David"/>
          <w:b/>
          <w:bCs/>
          <w:rtl/>
        </w:rPr>
        <w:t>מועל בתפקידו</w:t>
      </w:r>
      <w:r>
        <w:rPr>
          <w:rFonts w:ascii="David" w:hAnsi="David"/>
          <w:rtl/>
        </w:rPr>
        <w:t>" ואינו "</w:t>
      </w:r>
      <w:r>
        <w:rPr>
          <w:rFonts w:ascii="David" w:hAnsi="David"/>
          <w:b/>
          <w:bCs/>
          <w:rtl/>
        </w:rPr>
        <w:t>מפר את חובת הנאמנות</w:t>
      </w:r>
      <w:r>
        <w:rPr>
          <w:rFonts w:ascii="David" w:hAnsi="David"/>
          <w:rtl/>
        </w:rPr>
        <w:t>" כלפי המנוחה שהלכה לעולמה , כפי שקבע ביהמ"ש קמא בהחלטתו, אינה רלוונטית לשאלה אם הופר כלל 15 לכללי האתיקה. כאמור, כלל זה חל גם בנסיבות בהן אין חולק שעורך הדין מבקש למלא את תפקידו ופועל לטובת הלקוח שלו ולא נמצא בניגוד אינטרסים מולו. כך במקרה בפרשת פוגל , הורשע עוה"ד פוגל בהפרת כלל 15 לכללי האתיקה לאחר שפעל בשם לקוחו וטען לכך שהסכם הפשרה, שאותו אישר קודם בשם אותו לקוח, נחתם תחת סחיטה וכפייה.</w:t>
      </w:r>
    </w:p>
    <w:p w:rsidR="00C848D9" w:rsidRDefault="00C848D9" w:rsidP="00C848D9">
      <w:pPr>
        <w:spacing w:line="360" w:lineRule="auto"/>
        <w:jc w:val="both"/>
        <w:rPr>
          <w:rFonts w:ascii="David" w:hAnsi="David"/>
          <w:rtl/>
        </w:rPr>
      </w:pPr>
    </w:p>
    <w:p w:rsidR="00C848D9" w:rsidRDefault="00C848D9" w:rsidP="00C848D9">
      <w:pPr>
        <w:spacing w:line="360" w:lineRule="auto"/>
        <w:jc w:val="both"/>
        <w:rPr>
          <w:rFonts w:ascii="David" w:hAnsi="David"/>
          <w:rtl/>
        </w:rPr>
      </w:pPr>
      <w:r w:rsidRPr="00C848D9">
        <w:rPr>
          <w:rFonts w:ascii="David" w:hAnsi="David"/>
          <w:rtl/>
        </w:rPr>
        <w:t xml:space="preserve">ה. לאור כל האמור לעיל, ומשדי בהפרת כלל 15 לכללי האתיקה כדי לאשר את התוצאה לה הגיע ביהמ"ש קמא, לא מצאתי מקום להידרש ולבחון את קביעת ביהמ"ש קמא לפיה המבקש  </w:t>
      </w:r>
      <w:r w:rsidR="00B84F26">
        <w:rPr>
          <w:rFonts w:ascii="David" w:hAnsi="David" w:hint="cs"/>
          <w:rtl/>
        </w:rPr>
        <w:t>ב</w:t>
      </w:r>
      <w:r w:rsidRPr="00C848D9">
        <w:rPr>
          <w:rFonts w:ascii="David" w:hAnsi="David"/>
          <w:rtl/>
        </w:rPr>
        <w:t>התנהלותו הפר גם את כללי 14(א) לכללי האתיקה . מבלי לקבוע מסמרות אציין רק כי קביעה זו אינה חפה מספקות משום שנפסק בעבר כי טענות כנגד הפרת כלל 14(א) צריכות להיות מועלות על-ידי הלקוח החדש (קרי, בעניינו, המבקשים) וכי האינטרס המוגן בסעיף זה הינו של הלקוח החדש</w:t>
      </w:r>
      <w:r w:rsidR="00B84F26">
        <w:rPr>
          <w:rFonts w:ascii="David" w:hAnsi="David" w:hint="cs"/>
          <w:rtl/>
        </w:rPr>
        <w:t xml:space="preserve"> </w:t>
      </w:r>
      <w:r w:rsidRPr="00C848D9">
        <w:rPr>
          <w:rFonts w:ascii="David" w:hAnsi="David"/>
          <w:rtl/>
        </w:rPr>
        <w:t xml:space="preserve">של עוה"ד וזאת בשל התחייבויות קודמות שיש לעוה"ד כלפי לקוח קודם או עניין קודם  (ראו לדוגמא בפסקה 233 לפס"ד של כב' השופט דרורי בעמל"ע (ירושלים) </w:t>
      </w:r>
      <w:r w:rsidRPr="00C848D9">
        <w:rPr>
          <w:rFonts w:ascii="David" w:hAnsi="David"/>
          <w:b/>
          <w:bCs/>
          <w:u w:val="single"/>
          <w:rtl/>
        </w:rPr>
        <w:t>אמנון אברהמי, עו"ד נ' הועד המרכזי של לשכת עוה"ד</w:t>
      </w:r>
      <w:r w:rsidRPr="00C848D9">
        <w:rPr>
          <w:rFonts w:ascii="David" w:hAnsi="David"/>
          <w:rtl/>
        </w:rPr>
        <w:t xml:space="preserve">, פורסם בנבו 12.11.12; וכן הכרעת דין בית הדין המשמעתי המחוזי במחוז ת"א שניתנה בבד"מ 69/13 </w:t>
      </w:r>
      <w:r w:rsidRPr="00C848D9">
        <w:rPr>
          <w:rFonts w:ascii="David" w:hAnsi="David"/>
          <w:b/>
          <w:bCs/>
          <w:u w:val="single"/>
          <w:rtl/>
        </w:rPr>
        <w:t>וועדת האתיקה המחוזית של לשכת עוה"ד בישראל מחוז ת"א נ' עו"ד גבריאל ויסמן</w:t>
      </w:r>
      <w:r w:rsidRPr="00C848D9">
        <w:rPr>
          <w:rFonts w:ascii="David" w:hAnsi="David"/>
          <w:rtl/>
        </w:rPr>
        <w:t>, פורסם בנבו, 21.1.2014).</w:t>
      </w:r>
    </w:p>
    <w:p w:rsidR="00C848D9" w:rsidRPr="00C848D9" w:rsidRDefault="00C848D9" w:rsidP="00C848D9">
      <w:pPr>
        <w:spacing w:line="360" w:lineRule="auto"/>
        <w:jc w:val="both"/>
        <w:rPr>
          <w:rFonts w:ascii="David" w:hAnsi="David"/>
          <w:rtl/>
        </w:rPr>
      </w:pPr>
    </w:p>
    <w:p w:rsidR="00C848D9" w:rsidRDefault="00C848D9" w:rsidP="00C848D9">
      <w:pPr>
        <w:pStyle w:val="5"/>
        <w:bidi w:val="0"/>
        <w:spacing w:before="0" w:line="360" w:lineRule="auto"/>
        <w:jc w:val="right"/>
        <w:rPr>
          <w:rFonts w:ascii="David" w:hAnsi="David" w:cs="David"/>
          <w:b/>
          <w:bCs/>
        </w:rPr>
      </w:pPr>
    </w:p>
    <w:p w:rsidR="00C848D9" w:rsidRPr="00C848D9" w:rsidRDefault="00C848D9" w:rsidP="00C848D9">
      <w:pPr>
        <w:spacing w:line="360" w:lineRule="auto"/>
        <w:rPr>
          <w:b/>
          <w:bCs/>
          <w:u w:val="single"/>
          <w:rtl/>
        </w:rPr>
      </w:pPr>
      <w:r w:rsidRPr="00C848D9">
        <w:rPr>
          <w:b/>
          <w:bCs/>
          <w:u w:val="single"/>
          <w:rtl/>
        </w:rPr>
        <w:t>סוף דבר</w:t>
      </w:r>
    </w:p>
    <w:p w:rsidR="00C848D9" w:rsidRDefault="00C848D9" w:rsidP="00C848D9">
      <w:pPr>
        <w:spacing w:line="360" w:lineRule="auto"/>
        <w:rPr>
          <w:rtl/>
        </w:rPr>
      </w:pPr>
    </w:p>
    <w:p w:rsidR="00C848D9" w:rsidRDefault="00C848D9" w:rsidP="00C848D9">
      <w:pPr>
        <w:spacing w:line="360" w:lineRule="auto"/>
        <w:rPr>
          <w:rtl/>
        </w:rPr>
      </w:pPr>
    </w:p>
    <w:p w:rsidR="00C848D9" w:rsidRDefault="00C848D9" w:rsidP="00C848D9">
      <w:pPr>
        <w:spacing w:line="360" w:lineRule="auto"/>
        <w:rPr>
          <w:rtl/>
        </w:rPr>
      </w:pPr>
      <w:r>
        <w:rPr>
          <w:rtl/>
        </w:rPr>
        <w:t>לאור כל האמור לעיל, הערעור נדחה.</w:t>
      </w:r>
    </w:p>
    <w:p w:rsidR="00C848D9" w:rsidRDefault="00C848D9" w:rsidP="00C848D9">
      <w:pPr>
        <w:spacing w:line="360" w:lineRule="auto"/>
        <w:rPr>
          <w:rtl/>
        </w:rPr>
      </w:pPr>
    </w:p>
    <w:p w:rsidR="00C848D9" w:rsidRDefault="00C848D9" w:rsidP="00B84F26">
      <w:pPr>
        <w:spacing w:line="360" w:lineRule="auto"/>
        <w:rPr>
          <w:rtl/>
        </w:rPr>
      </w:pPr>
      <w:r>
        <w:rPr>
          <w:rtl/>
        </w:rPr>
        <w:t xml:space="preserve">המבקשים ישאו בהוצאות המשיבים ושכ"ט בא כוחם בסך של </w:t>
      </w:r>
      <w:r w:rsidR="00B84F26">
        <w:rPr>
          <w:rFonts w:hint="cs"/>
          <w:rtl/>
        </w:rPr>
        <w:t>5,000 ש"ח</w:t>
      </w:r>
      <w:r>
        <w:rPr>
          <w:rtl/>
        </w:rPr>
        <w:t xml:space="preserve"> אשר ישולמו מתוך כספי העירבון שהופקדו. יתרת העירבון</w:t>
      </w:r>
      <w:r w:rsidR="00B84F26">
        <w:rPr>
          <w:rFonts w:hint="cs"/>
          <w:rtl/>
        </w:rPr>
        <w:t>, על פירותיו,</w:t>
      </w:r>
      <w:r>
        <w:rPr>
          <w:rtl/>
        </w:rPr>
        <w:t xml:space="preserve"> תוחזר לידי המבקש 1.</w:t>
      </w:r>
    </w:p>
    <w:p w:rsidR="00C848D9" w:rsidRDefault="00C848D9" w:rsidP="00C848D9">
      <w:pPr>
        <w:spacing w:line="360" w:lineRule="auto"/>
        <w:rPr>
          <w:rtl/>
        </w:rPr>
      </w:pPr>
    </w:p>
    <w:p w:rsidR="00C848D9" w:rsidRDefault="00C848D9" w:rsidP="00C848D9">
      <w:pPr>
        <w:spacing w:line="360" w:lineRule="auto"/>
        <w:rPr>
          <w:rtl/>
        </w:rPr>
      </w:pPr>
      <w:r>
        <w:rPr>
          <w:rtl/>
        </w:rPr>
        <w:t>מתיר פרסום פסק-הדין במתכונת בה נחתם, בהיעדר שמות הצדדים ופרטים מזהים אחרים.</w:t>
      </w:r>
    </w:p>
    <w:p w:rsidR="00C848D9" w:rsidRDefault="00C848D9" w:rsidP="00C848D9">
      <w:pPr>
        <w:spacing w:line="360" w:lineRule="auto"/>
        <w:rPr>
          <w:rtl/>
        </w:rPr>
      </w:pPr>
    </w:p>
    <w:p w:rsidR="00694556"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235735686"/>
          <w:text w:multiLine="1"/>
        </w:sdtPr>
        <w:sdtEndPr/>
        <w:sdtContent>
          <w:r>
            <w:rPr>
              <w:rFonts w:ascii="Arial" w:hAnsi="Arial"/>
              <w:noProof w:val="0"/>
              <w:rtl/>
            </w:rPr>
            <w:t>ב' אלול תשפ"ד</w:t>
          </w:r>
        </w:sdtContent>
      </w:sdt>
      <w:r w:rsidR="00005C8B">
        <w:rPr>
          <w:rFonts w:ascii="Arial" w:hAnsi="Arial"/>
          <w:noProof w:val="0"/>
          <w:rtl/>
        </w:rPr>
        <w:t xml:space="preserve">, </w:t>
      </w:r>
      <w:sdt>
        <w:sdtPr>
          <w:rPr>
            <w:rtl/>
          </w:rPr>
          <w:alias w:val="1456"/>
          <w:tag w:val="1456"/>
          <w:id w:val="2052102366"/>
          <w:text w:multiLine="1"/>
        </w:sdtPr>
        <w:sdtEndPr/>
        <w:sdtContent>
          <w:r>
            <w:rPr>
              <w:rFonts w:ascii="Arial" w:hAnsi="Arial"/>
              <w:noProof w:val="0"/>
              <w:rtl/>
            </w:rPr>
            <w:t>05 ספטמבר 2024</w:t>
          </w:r>
        </w:sdtContent>
      </w:sdt>
      <w:r w:rsidR="00005C8B">
        <w:rPr>
          <w:rFonts w:ascii="Arial" w:hAnsi="Arial"/>
          <w:noProof w:val="0"/>
          <w:rtl/>
        </w:rPr>
        <w:t>, בהעדר הצדדים.</w:t>
      </w:r>
    </w:p>
    <w:p w:rsidR="00694556" w:rsidRDefault="00694556">
      <w:pPr>
        <w:spacing w:line="360" w:lineRule="auto"/>
        <w:jc w:val="both"/>
        <w:rPr>
          <w:rFonts w:ascii="Arial" w:hAnsi="Arial"/>
          <w:noProof w:val="0"/>
          <w:rtl/>
        </w:rPr>
      </w:pPr>
    </w:p>
    <w:p w:rsidR="00694556" w:rsidRDefault="005F5BFF">
      <w:pPr>
        <w:spacing w:line="360" w:lineRule="auto"/>
        <w:ind w:left="3600" w:firstLine="720"/>
        <w:jc w:val="both"/>
      </w:pPr>
      <w:sdt>
        <w:sdtPr>
          <w:rPr>
            <w:rtl/>
          </w:rPr>
          <w:alias w:val="MergeField"/>
          <w:tag w:val="1237"/>
          <w:id w:val="-1644190446"/>
        </w:sdtPr>
        <w:sdtEndPr/>
        <w:sdtContent>
          <w:r w:rsidR="00A13822">
            <w:drawing>
              <wp:inline distT="0" distB="0" distL="0" distR="0" wp14:editId="50D07946">
                <wp:extent cx="1755648" cy="44348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755648" cy="443484"/>
                        </a:xfrm>
                        <a:prstGeom prst="rect">
                          <a:avLst/>
                        </a:prstGeom>
                      </pic:spPr>
                    </pic:pic>
                  </a:graphicData>
                </a:graphic>
              </wp:inline>
            </w:drawing>
          </w:r>
        </w:sdtContent>
      </w:sdt>
    </w:p>
    <w:p w:rsidR="00694556" w:rsidRDefault="00694556">
      <w:pPr>
        <w:spacing w:line="360" w:lineRule="auto"/>
        <w:ind w:left="3600" w:firstLine="720"/>
        <w:jc w:val="both"/>
        <w:rPr>
          <w:rFonts w:ascii="Arial" w:hAnsi="Arial"/>
          <w:noProof w:val="0"/>
          <w:rtl/>
        </w:rPr>
      </w:pPr>
    </w:p>
    <w:sectPr w:rsidR="00694556" w:rsidSect="00903896">
      <w:headerReference w:type="even" r:id="rId11"/>
      <w:headerReference w:type="default" r:id="rId12"/>
      <w:footerReference w:type="even" r:id="rId13"/>
      <w:footerReference w:type="default" r:id="rId14"/>
      <w:headerReference w:type="first" r:id="rId15"/>
      <w:footerReference w:type="first" r:id="rId16"/>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5BFF" w:rsidRDefault="005F5BFF">
      <w:r>
        <w:separator/>
      </w:r>
    </w:p>
  </w:endnote>
  <w:endnote w:type="continuationSeparator" w:id="0">
    <w:p w:rsidR="005F5BFF" w:rsidRDefault="005F5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7194" w:rsidRDefault="00FB7194">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E05465">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C8522D">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C8522D">
      <w:rPr>
        <w:rStyle w:val="ab"/>
        <w:rtl/>
      </w:rPr>
      <w:t>8</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7194" w:rsidRDefault="00FB7194">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5BFF" w:rsidRDefault="005F5BFF">
      <w:r>
        <w:separator/>
      </w:r>
    </w:p>
  </w:footnote>
  <w:footnote w:type="continuationSeparator" w:id="0">
    <w:p w:rsidR="005F5BFF" w:rsidRDefault="005F5B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7194" w:rsidRDefault="00FB7194">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20333C">
    <w:pPr>
      <w:pStyle w:val="a3"/>
      <w:jc w:val="center"/>
      <w:rPr>
        <w:rFonts w:cs="FrankRuehl"/>
        <w:noProof w:val="0"/>
        <w:sz w:val="28"/>
        <w:szCs w:val="28"/>
        <w:rtl/>
      </w:rPr>
    </w:pPr>
    <w:r>
      <w:rPr>
        <w:rFonts w:cs="FrankRuehl"/>
        <w:sz w:val="28"/>
        <w:szCs w:val="28"/>
      </w:rPr>
      <w:drawing>
        <wp:inline distT="0" distB="0" distL="0" distR="0" wp14:anchorId="031BB381" wp14:editId="58C2146F">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9501" w:type="dxa"/>
      <w:jc w:val="center"/>
      <w:tblLook w:val="0000" w:firstRow="0" w:lastRow="0" w:firstColumn="0" w:lastColumn="0" w:noHBand="0" w:noVBand="0"/>
    </w:tblPr>
    <w:tblGrid>
      <w:gridCol w:w="5808"/>
      <w:gridCol w:w="3693"/>
    </w:tblGrid>
    <w:tr w:rsidR="00694556" w:rsidTr="00FB7194">
      <w:trPr>
        <w:trHeight w:hRule="exact" w:val="418"/>
        <w:jc w:val="center"/>
      </w:trPr>
      <w:sdt>
        <w:sdtPr>
          <w:rPr>
            <w:sz w:val="30"/>
            <w:szCs w:val="30"/>
            <w:rtl/>
          </w:rPr>
          <w:alias w:val="1174"/>
          <w:tag w:val="1174"/>
          <w:id w:val="460396125"/>
          <w:text/>
        </w:sdtPr>
        <w:sdtEndPr/>
        <w:sdtContent>
          <w:tc>
            <w:tcPr>
              <w:tcW w:w="9501" w:type="dxa"/>
              <w:gridSpan w:val="2"/>
            </w:tcPr>
            <w:p w:rsidR="00694556" w:rsidRPr="00A02D93" w:rsidRDefault="00005C8B">
              <w:pPr>
                <w:pStyle w:val="a3"/>
                <w:jc w:val="center"/>
                <w:rPr>
                  <w:rFonts w:ascii="Tahoma" w:hAnsi="Tahoma"/>
                  <w:noProof w:val="0"/>
                  <w:color w:val="000080"/>
                  <w:sz w:val="30"/>
                  <w:szCs w:val="30"/>
                  <w:rtl/>
                </w:rPr>
              </w:pPr>
              <w:r w:rsidRPr="00A02D93">
                <w:rPr>
                  <w:rFonts w:ascii="Tahoma" w:hAnsi="Tahoma"/>
                  <w:b/>
                  <w:bCs/>
                  <w:noProof w:val="0"/>
                  <w:color w:val="000080"/>
                  <w:sz w:val="30"/>
                  <w:szCs w:val="30"/>
                  <w:rtl/>
                </w:rPr>
                <w:t>בית המשפט המחוזי בתל אביב -יפו</w:t>
              </w:r>
            </w:p>
          </w:tc>
        </w:sdtContent>
      </w:sdt>
    </w:tr>
    <w:tr w:rsidR="00694556" w:rsidTr="00FB7194">
      <w:trPr>
        <w:trHeight w:val="337"/>
        <w:jc w:val="center"/>
      </w:trPr>
      <w:tc>
        <w:tcPr>
          <w:tcW w:w="5808" w:type="dxa"/>
        </w:tcPr>
        <w:p w:rsidR="00694556" w:rsidRDefault="00694556">
          <w:pPr>
            <w:rPr>
              <w:b/>
              <w:bCs/>
              <w:noProof w:val="0"/>
              <w:sz w:val="26"/>
              <w:szCs w:val="26"/>
              <w:rtl/>
            </w:rPr>
          </w:pPr>
        </w:p>
      </w:tc>
      <w:tc>
        <w:tcPr>
          <w:tcW w:w="3693" w:type="dxa"/>
        </w:tcPr>
        <w:p w:rsidR="00694556" w:rsidRDefault="00694556">
          <w:pPr>
            <w:pStyle w:val="a3"/>
            <w:jc w:val="right"/>
            <w:rPr>
              <w:b/>
              <w:bCs/>
              <w:noProof w:val="0"/>
              <w:sz w:val="26"/>
              <w:szCs w:val="26"/>
              <w:rtl/>
            </w:rPr>
          </w:pPr>
        </w:p>
      </w:tc>
    </w:tr>
    <w:tr w:rsidR="00694556" w:rsidTr="00FB7194">
      <w:trPr>
        <w:trHeight w:val="337"/>
        <w:jc w:val="center"/>
      </w:trPr>
      <w:tc>
        <w:tcPr>
          <w:tcW w:w="9501" w:type="dxa"/>
          <w:gridSpan w:val="2"/>
        </w:tcPr>
        <w:p w:rsidR="000002B3" w:rsidRDefault="000002B3">
          <w:pPr>
            <w:rPr>
              <w:rtl/>
            </w:rPr>
          </w:pPr>
        </w:p>
        <w:p w:rsidR="00694556" w:rsidRPr="009109C6" w:rsidRDefault="005F5BFF" w:rsidP="00C848D9">
          <w:pPr>
            <w:rPr>
              <w:b/>
              <w:bCs/>
              <w:noProof w:val="0"/>
              <w:sz w:val="26"/>
              <w:szCs w:val="26"/>
              <w:rtl/>
            </w:rPr>
          </w:pPr>
          <w:sdt>
            <w:sdtPr>
              <w:rPr>
                <w:rtl/>
              </w:rPr>
              <w:alias w:val="1170"/>
              <w:tag w:val="1170"/>
              <w:id w:val="1272976944"/>
              <w:text w:multiLine="1"/>
            </w:sdtPr>
            <w:sdtEndPr/>
            <w:sdtContent>
              <w:r w:rsidR="00FB7194">
                <w:rPr>
                  <w:b/>
                  <w:bCs/>
                  <w:noProof w:val="0"/>
                  <w:sz w:val="26"/>
                  <w:szCs w:val="26"/>
                  <w:rtl/>
                </w:rPr>
                <w:t>רמ"ש</w:t>
              </w:r>
            </w:sdtContent>
          </w:sdt>
          <w:r w:rsidR="00005C8B" w:rsidRPr="009109C6">
            <w:rPr>
              <w:b/>
              <w:bCs/>
              <w:noProof w:val="0"/>
              <w:sz w:val="26"/>
              <w:szCs w:val="26"/>
              <w:rtl/>
            </w:rPr>
            <w:t xml:space="preserve"> </w:t>
          </w:r>
          <w:sdt>
            <w:sdtPr>
              <w:rPr>
                <w:rtl/>
              </w:rPr>
              <w:alias w:val="1171"/>
              <w:tag w:val="1171"/>
              <w:id w:val="-1944829236"/>
              <w:text w:multiLine="1"/>
            </w:sdtPr>
            <w:sdtEndPr/>
            <w:sdtContent>
              <w:r w:rsidR="00FB7194">
                <w:rPr>
                  <w:b/>
                  <w:bCs/>
                  <w:noProof w:val="0"/>
                  <w:sz w:val="26"/>
                  <w:szCs w:val="26"/>
                  <w:rtl/>
                </w:rPr>
                <w:t>19697-07-24</w:t>
              </w:r>
            </w:sdtContent>
          </w:sdt>
          <w:r w:rsidR="00005C8B" w:rsidRPr="009109C6">
            <w:rPr>
              <w:b/>
              <w:bCs/>
              <w:noProof w:val="0"/>
              <w:sz w:val="26"/>
              <w:szCs w:val="26"/>
              <w:rtl/>
            </w:rPr>
            <w:t xml:space="preserve"> </w:t>
          </w:r>
          <w:sdt>
            <w:sdtPr>
              <w:rPr>
                <w:rtl/>
              </w:rPr>
              <w:alias w:val="1172"/>
              <w:tag w:val="1172"/>
              <w:id w:val="-822969233"/>
              <w:text w:multiLine="1"/>
            </w:sdtPr>
            <w:sdtEndPr/>
            <w:sdtContent>
              <w:r w:rsidR="00C848D9">
                <w:rPr>
                  <w:rFonts w:hint="cs"/>
                  <w:b/>
                  <w:bCs/>
                  <w:noProof w:val="0"/>
                  <w:sz w:val="26"/>
                  <w:szCs w:val="26"/>
                  <w:rtl/>
                </w:rPr>
                <w:t>עו"ד פלוני ואח' נ' פלונית ואח'</w:t>
              </w:r>
            </w:sdtContent>
          </w:sdt>
          <w:r w:rsidR="009109C6">
            <w:rPr>
              <w:rFonts w:hint="cs"/>
              <w:b/>
              <w:bCs/>
              <w:noProof w:val="0"/>
              <w:sz w:val="26"/>
              <w:szCs w:val="26"/>
              <w:rtl/>
            </w:rPr>
            <w:t xml:space="preserve"> </w:t>
          </w:r>
          <w:r w:rsidR="004D0FA5">
            <w:rPr>
              <w:rFonts w:hint="cs"/>
              <w:b/>
              <w:bCs/>
              <w:noProof w:val="0"/>
              <w:sz w:val="26"/>
              <w:szCs w:val="26"/>
              <w:rtl/>
            </w:rPr>
            <w:t xml:space="preserve">           </w:t>
          </w:r>
          <w:r w:rsidR="00A02D93">
            <w:rPr>
              <w:rFonts w:hint="cs"/>
              <w:b/>
              <w:bCs/>
              <w:noProof w:val="0"/>
              <w:sz w:val="26"/>
              <w:szCs w:val="26"/>
              <w:rtl/>
            </w:rPr>
            <w:t xml:space="preserve">     </w:t>
          </w:r>
          <w:r w:rsidR="00912B5F">
            <w:rPr>
              <w:rFonts w:hint="cs"/>
              <w:b/>
              <w:bCs/>
              <w:noProof w:val="0"/>
              <w:sz w:val="26"/>
              <w:szCs w:val="26"/>
              <w:rtl/>
            </w:rPr>
            <w:t xml:space="preserve">       </w:t>
          </w:r>
          <w:r w:rsidR="00A02D93">
            <w:rPr>
              <w:rFonts w:hint="cs"/>
              <w:b/>
              <w:bCs/>
              <w:noProof w:val="0"/>
              <w:sz w:val="26"/>
              <w:szCs w:val="26"/>
              <w:rtl/>
            </w:rPr>
            <w:t xml:space="preserve">  </w:t>
          </w:r>
          <w:r w:rsidR="00FB7194">
            <w:rPr>
              <w:rFonts w:hint="cs"/>
              <w:b/>
              <w:bCs/>
              <w:noProof w:val="0"/>
              <w:sz w:val="26"/>
              <w:szCs w:val="26"/>
              <w:rtl/>
            </w:rPr>
            <w:t xml:space="preserve">     </w:t>
          </w:r>
          <w:r w:rsidR="00A02D93">
            <w:rPr>
              <w:rFonts w:hint="cs"/>
              <w:b/>
              <w:bCs/>
              <w:noProof w:val="0"/>
              <w:sz w:val="26"/>
              <w:szCs w:val="26"/>
              <w:rtl/>
            </w:rPr>
            <w:t xml:space="preserve"> </w:t>
          </w:r>
          <w:sdt>
            <w:sdtPr>
              <w:rPr>
                <w:rFonts w:hint="cs"/>
                <w:b/>
                <w:bCs/>
                <w:noProof w:val="0"/>
                <w:sz w:val="26"/>
                <w:szCs w:val="26"/>
                <w:rtl/>
              </w:rPr>
              <w:alias w:val="1192"/>
              <w:tag w:val="1192"/>
              <w:id w:val="393938774"/>
              <w:placeholder>
                <w:docPart w:val="0C7EB024E988478CBC55EA12A1694B53"/>
              </w:placeholder>
              <w:text w:multiLine="1"/>
            </w:sdtPr>
            <w:sdtEndPr/>
            <w:sdtContent>
              <w:r w:rsidR="00FB7194">
                <w:rPr>
                  <w:rFonts w:hint="eastAsia"/>
                  <w:b/>
                  <w:bCs/>
                  <w:noProof w:val="0"/>
                  <w:sz w:val="26"/>
                  <w:szCs w:val="26"/>
                  <w:rtl/>
                </w:rPr>
                <w:t>05 ספטמבר 2024</w:t>
              </w:r>
            </w:sdtContent>
          </w:sdt>
          <w:r w:rsidR="009109C6">
            <w:rPr>
              <w:b/>
              <w:bCs/>
              <w:noProof w:val="0"/>
              <w:sz w:val="26"/>
              <w:szCs w:val="26"/>
              <w:rtl/>
            </w:rPr>
            <w:t xml:space="preserve"> </w:t>
          </w:r>
        </w:p>
        <w:p w:rsidR="00694556" w:rsidRDefault="00694556">
          <w:pPr>
            <w:rPr>
              <w:rtl/>
            </w:rPr>
          </w:pP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7194" w:rsidRDefault="00FB719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14294D"/>
    <w:multiLevelType w:val="hybridMultilevel"/>
    <w:tmpl w:val="C20260E6"/>
    <w:lvl w:ilvl="0" w:tplc="6354E834">
      <w:start w:val="7"/>
      <w:numFmt w:val="decimal"/>
      <w:lvlText w:val="%1."/>
      <w:lvlJc w:val="left"/>
      <w:pPr>
        <w:ind w:left="644"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377934"/>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377934&amp;lt;/CaseID&amp;gt;_x000d__x000a_        &amp;lt;CaseMonth&amp;gt;7&amp;lt;/CaseMonth&amp;gt;_x000d__x000a_        &amp;lt;CaseYear&amp;gt;2024&amp;lt;/CaseYear&amp;gt;_x000d__x000a_        &amp;lt;CaseNumber&amp;gt;19697&amp;lt;/CaseNumber&amp;gt;_x000d__x000a_        &amp;lt;NumeratorGroupID&amp;gt;1&amp;lt;/NumeratorGroupID&amp;gt;_x000d__x000a_        &amp;lt;CaseName&amp;gt;בורובסקי ואח&amp;#39; נ&amp;#39; הוברט ואח&amp;#39;&amp;lt;/CaseName&amp;gt;_x000d__x000a_        &amp;lt;CourtID&amp;gt;15&amp;lt;/CourtID&amp;gt;_x000d__x000a_        &amp;lt;CaseTypeID&amp;gt;10074&amp;lt;/CaseTypeID&amp;gt;_x000d__x000a_        &amp;lt;CaseInterestID&amp;gt;101&amp;lt;/CaseInterestID&amp;gt;_x000d__x000a_        &amp;lt;CaseJudgeName&amp;gt;שאול שוחט&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19697-07-24&amp;lt;/CaseDisplayIdentifier&amp;gt;_x000d__x000a_        &amp;lt;CaseTypeDesc&amp;gt;רמ&amp;quot;ש&amp;lt;/CaseTypeDesc&amp;gt;_x000d__x000a_        &amp;lt;CourtDesc&amp;gt;המחוזי תל אביב - יפו&amp;lt;/CourtDesc&amp;gt;_x000d__x000a_        &amp;lt;CaseStageDesc&amp;gt;תיק אלקטרוני&amp;lt;/CaseStageDesc&amp;gt;_x000d__x000a_        &amp;lt;IsUnpaidFeeExist&amp;gt;false&amp;lt;/IsUnpaidFeeExist&amp;gt;_x000d__x000a_        &amp;lt;CaseNextDeterminingTask&amp;gt;140&amp;lt;/CaseNextDeterminingTask&amp;gt;_x000d__x000a_        &amp;lt;CaseOpenDate&amp;gt;2024-07-08T12:28:00+03:00&amp;lt;/CaseOpenDate&amp;gt;_x000d__x000a_        &amp;lt;PleaTypeID&amp;gt;5&amp;lt;/PleaTypeID&amp;gt;_x000d__x000a_        &amp;lt;CourtLevelID&amp;gt;2&amp;lt;/CourtLevelID&amp;gt;_x000d__x000a_        &amp;lt;CourtLevelCaseTypeInterestID&amp;gt;419&amp;lt;/CourtLevelCaseTypeInterestID&amp;gt;_x000d__x000a_        &amp;lt;CaseJudgeFirstName&amp;gt;שאול&amp;lt;/CaseJudgeFirstName&amp;gt;_x000d__x000a_        &amp;lt;CaseJudgeLastName&amp;gt;שוחט&amp;lt;/CaseJudgeLastName&amp;gt;_x000d__x000a_        &amp;lt;JudicalPersonID&amp;gt;053515011@GOV.IL&amp;lt;/JudicalPersonID&amp;gt;_x000d__x000a_        &amp;lt;IsJudicalPanel&amp;gt;false&amp;lt;/IsJudicalPanel&amp;gt;_x000d__x000a_        &amp;lt;CourtDisplayName&amp;gt;בית המשפט המחוזי בתל אביב -יפו&amp;lt;/CourtDisplayName&amp;gt;_x000d__x000a_        &amp;lt;IsAllStartDataCollected&amp;gt;true&amp;lt;/IsAllStartDataCollected&amp;gt;_x000d__x000a_        &amp;lt;IsMainCase&amp;gt;true&amp;lt;/IsMainCase&amp;gt;_x000d__x000a_        &amp;lt;CaseDesc&amp;gt;הועלה ללשכה (דוד שוואה)&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377934&amp;lt;/CaseID&amp;gt;_x000d__x000a_        &amp;lt;CaseMonth&amp;gt;7&amp;lt;/CaseMonth&amp;gt;_x000d__x000a_        &amp;lt;CaseYear&amp;gt;2024&amp;lt;/CaseYear&amp;gt;_x000d__x000a_        &amp;lt;CaseNumber&amp;gt;19697&amp;lt;/CaseNumber&amp;gt;_x000d__x000a_        &amp;lt;NumeratorGroupID&amp;gt;1&amp;lt;/NumeratorGroupID&amp;gt;_x000d__x000a_        &amp;lt;CaseName&amp;gt;בורובסקי ואח&amp;#39; נ&amp;#39; הוברט ואח&amp;#39;&amp;lt;/CaseName&amp;gt;_x000d__x000a_        &amp;lt;CourtID&amp;gt;15&amp;lt;/CourtID&amp;gt;_x000d__x000a_        &amp;lt;CaseTypeID&amp;gt;10074&amp;lt;/CaseTypeID&amp;gt;_x000d__x000a_        &amp;lt;CaseInterestID&amp;gt;101&amp;lt;/CaseInterestID&amp;gt;_x000d__x000a_        &amp;lt;CaseJudgeName&amp;gt;שאול שוחט&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19697-07-24&amp;lt;/CaseDisplayIdentifier&amp;gt;_x000d__x000a_        &amp;lt;CaseTypeDesc&amp;gt;רמ&amp;quot;ש&amp;lt;/CaseTypeDesc&amp;gt;_x000d__x000a_        &amp;lt;CourtDesc&amp;gt;המחוזי תל אביב - יפו&amp;lt;/CourtDesc&amp;gt;_x000d__x000a_        &amp;lt;CaseStageDesc&amp;gt;תיק אלקטרוני&amp;lt;/CaseStageDesc&amp;gt;_x000d__x000a_        &amp;lt;CaseNextDeterminingTask&amp;gt;140&amp;lt;/CaseNextDeterminingTask&amp;gt;_x000d__x000a_        &amp;lt;CaseOpenDate&amp;gt;2024-07-08T12:28:00+03:00&amp;lt;/CaseOpenDate&amp;gt;_x000d__x000a_        &amp;lt;PleaTypeID&amp;gt;5&amp;lt;/PleaTypeID&amp;gt;_x000d__x000a_        &amp;lt;CourtLevelID&amp;gt;2&amp;lt;/CourtLevelID&amp;gt;_x000d__x000a_        &amp;lt;CourtLevelCaseTypeInterestID&amp;gt;419&amp;lt;/CourtLevelCaseTypeInterestID&amp;gt;_x000d__x000a_        &amp;lt;CaseJudgeFirstName&amp;gt;שאול&amp;lt;/CaseJudgeFirstName&amp;gt;_x000d__x000a_        &amp;lt;CaseJudgeLastName&amp;gt;שוחט&amp;lt;/CaseJudgeLastName&amp;gt;_x000d__x000a_        &amp;lt;JudicalPersonID&amp;gt;053515011@GOV.IL&amp;lt;/JudicalPersonID&amp;gt;_x000d__x000a_        &amp;lt;IsJudicalPanel&amp;gt;false&amp;lt;/IsJudicalPanel&amp;gt;_x000d__x000a_        &amp;lt;CourtDisplayName&amp;gt;בית המשפט המחוזי בתל אביב -יפו&amp;lt;/CourtDisplayName&amp;gt;_x000d__x000a_        &amp;lt;IsAllStartDataCollected&amp;gt;true&amp;lt;/IsAllStartDataCollected&amp;gt;_x000d__x000a_        &amp;lt;IsMainCase&amp;gt;true&amp;lt;/IsMainCase&amp;gt;_x000d__x000a_        &amp;lt;CaseDesc&amp;gt;הועלה ללשכה (דוד שוואה)&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4720000&amp;lt;/DecisionID&amp;gt;_x000d__x000a_        &amp;lt;DecisionName&amp;gt;פסק דין  שניתנה ע&amp;quot;י  שאול שוחט&amp;lt;/DecisionName&amp;gt;_x000d__x000a_        &amp;lt;DecisionStatusID&amp;gt;1&amp;lt;/DecisionStatusID&amp;gt;_x000d__x000a_        &amp;lt;DecisionStatusChangeDate&amp;gt;2024-09-05T17:02:18.083+03:00&amp;lt;/DecisionStatusChangeDate&amp;gt;_x000d__x000a_        &amp;lt;DecisionSignatureDate&amp;gt;2024-09-05T17:02:15.16+03:00&amp;lt;/DecisionSignatureDate&amp;gt;_x000d__x000a_        &amp;lt;DecisionSignatureUserID&amp;gt;053515011@GOV.IL&amp;lt;/DecisionSignatureUserID&amp;gt;_x000d__x000a_        &amp;lt;DecisionCreateDate&amp;gt;2024-09-05T17:02:18.043+03:00&amp;lt;/DecisionCreateDate&amp;gt;_x000d__x000a_        &amp;lt;DecisionChangeDate&amp;gt;2024-09-05T17:02:18.153+03:00&amp;lt;/DecisionChangeDate&amp;gt;_x000d__x000a_        &amp;lt;DecisionChangeUserID&amp;gt;040859134@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54311143&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3515011@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40859134@GOV.IL&amp;lt;/DecisionCreationUserID&amp;gt;_x000d__x000a_        &amp;lt;DecisionDisplayName&amp;gt;פסק דין  שניתנה ע&amp;quot;י  שאול שוחט&amp;lt;/DecisionDisplayName&amp;gt;_x000d__x000a_        &amp;lt;IsScanned&amp;gt;false&amp;lt;/IsScanned&amp;gt;_x000d__x000a_        &amp;lt;DecisionSignatureUserName&amp;gt;שאול שוחט&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4&amp;lt;/DecisionNumberInCase&amp;gt;_x000d__x000a_      &amp;lt;/dt_Decision&amp;gt;_x000d__x000a_      &amp;lt;dt_DecisionCase diffgr:id=&amp;quot;dt_DecisionCase1&amp;quot; msdata:rowOrder=&amp;quot;0&amp;quot;&amp;gt;_x000d__x000a_        &amp;lt;DecisionID&amp;gt;154720000&amp;lt;/DecisionID&amp;gt;_x000d__x000a_        &amp;lt;CaseID&amp;gt;81377934&amp;lt;/CaseID&amp;gt;_x000d__x000a_        &amp;lt;IsOriginal&amp;gt;true&amp;lt;/IsOriginal&amp;gt;_x000d__x000a_        &amp;lt;IsDeleted&amp;gt;false&amp;lt;/IsDeleted&amp;gt;_x000d__x000a_        &amp;lt;CaseName&amp;gt;בורובסקי ואח&amp;#39; נ&amp;#39; הוברט ואח&amp;#39;&amp;lt;/CaseName&amp;gt;_x000d__x000a_        &amp;lt;CaseDisplayIdentifier&amp;gt;19697-07-24 רמ&amp;quot;ש&amp;lt;/CaseDisplayIdentifier&amp;gt;_x000d__x000a_      &amp;lt;/dt_DecisionCase&amp;gt;_x000d__x000a_    &amp;lt;/DecisionDS&amp;gt;_x000d__x000a_  &amp;lt;/diffgr:diffgram&amp;gt;_x000d__x000a_&amp;lt;/DecisionDS&amp;gt;"/>
    <w:docVar w:name="DecisionID" w:val="154720000"/>
    <w:docVar w:name="WordClientAssemblyName" w:val="NGCS.Decision.ClientWordBL"/>
    <w:docVar w:name="WordClientClassName" w:val="NGCS.Decision.ClientWordBL.DecisionClient"/>
  </w:docVars>
  <w:rsids>
    <w:rsidRoot w:val="00694556"/>
    <w:rsid w:val="000002B3"/>
    <w:rsid w:val="00005C8B"/>
    <w:rsid w:val="000564AB"/>
    <w:rsid w:val="00064FBD"/>
    <w:rsid w:val="00096AF7"/>
    <w:rsid w:val="000C3B0F"/>
    <w:rsid w:val="000F0BC8"/>
    <w:rsid w:val="00107E6D"/>
    <w:rsid w:val="0011194C"/>
    <w:rsid w:val="00116E4D"/>
    <w:rsid w:val="001346CC"/>
    <w:rsid w:val="00144D2A"/>
    <w:rsid w:val="00166819"/>
    <w:rsid w:val="00180519"/>
    <w:rsid w:val="001C4003"/>
    <w:rsid w:val="0020333C"/>
    <w:rsid w:val="002265FF"/>
    <w:rsid w:val="002E0063"/>
    <w:rsid w:val="00307A6A"/>
    <w:rsid w:val="00307C40"/>
    <w:rsid w:val="00320433"/>
    <w:rsid w:val="003333B2"/>
    <w:rsid w:val="00333451"/>
    <w:rsid w:val="003506A5"/>
    <w:rsid w:val="0036743F"/>
    <w:rsid w:val="0043125D"/>
    <w:rsid w:val="0043502B"/>
    <w:rsid w:val="004359FB"/>
    <w:rsid w:val="0044462A"/>
    <w:rsid w:val="00472C17"/>
    <w:rsid w:val="004C4BDF"/>
    <w:rsid w:val="004D0FA5"/>
    <w:rsid w:val="004D1187"/>
    <w:rsid w:val="004E6E3C"/>
    <w:rsid w:val="00504841"/>
    <w:rsid w:val="00517733"/>
    <w:rsid w:val="005268F6"/>
    <w:rsid w:val="00547DB7"/>
    <w:rsid w:val="005E2E46"/>
    <w:rsid w:val="005E63DC"/>
    <w:rsid w:val="005F5BFF"/>
    <w:rsid w:val="00622BAA"/>
    <w:rsid w:val="00671BD5"/>
    <w:rsid w:val="006805C1"/>
    <w:rsid w:val="00694556"/>
    <w:rsid w:val="006C3D60"/>
    <w:rsid w:val="006D201D"/>
    <w:rsid w:val="006E1A53"/>
    <w:rsid w:val="00704EDA"/>
    <w:rsid w:val="007E4E04"/>
    <w:rsid w:val="007E6115"/>
    <w:rsid w:val="007F2308"/>
    <w:rsid w:val="007F4609"/>
    <w:rsid w:val="008023D9"/>
    <w:rsid w:val="00820005"/>
    <w:rsid w:val="00825203"/>
    <w:rsid w:val="00896889"/>
    <w:rsid w:val="008A14D8"/>
    <w:rsid w:val="008A44DA"/>
    <w:rsid w:val="008C5714"/>
    <w:rsid w:val="00903896"/>
    <w:rsid w:val="00906F3D"/>
    <w:rsid w:val="009109C6"/>
    <w:rsid w:val="00912B5F"/>
    <w:rsid w:val="00A02D93"/>
    <w:rsid w:val="00A13822"/>
    <w:rsid w:val="00A42845"/>
    <w:rsid w:val="00A912E2"/>
    <w:rsid w:val="00A94B64"/>
    <w:rsid w:val="00AB70CF"/>
    <w:rsid w:val="00AC3B7B"/>
    <w:rsid w:val="00AC5209"/>
    <w:rsid w:val="00B80CBD"/>
    <w:rsid w:val="00B84F26"/>
    <w:rsid w:val="00B86096"/>
    <w:rsid w:val="00B96FA1"/>
    <w:rsid w:val="00BF1908"/>
    <w:rsid w:val="00C22D93"/>
    <w:rsid w:val="00C34482"/>
    <w:rsid w:val="00C848D9"/>
    <w:rsid w:val="00C8522D"/>
    <w:rsid w:val="00D33B86"/>
    <w:rsid w:val="00D53924"/>
    <w:rsid w:val="00D55D0C"/>
    <w:rsid w:val="00D677F5"/>
    <w:rsid w:val="00D96D8C"/>
    <w:rsid w:val="00DA6649"/>
    <w:rsid w:val="00E05465"/>
    <w:rsid w:val="00E51415"/>
    <w:rsid w:val="00E54642"/>
    <w:rsid w:val="00EA67C8"/>
    <w:rsid w:val="00EC37E9"/>
    <w:rsid w:val="00ED3C51"/>
    <w:rsid w:val="00F00140"/>
    <w:rsid w:val="00F002A0"/>
    <w:rsid w:val="00F84B6D"/>
    <w:rsid w:val="00FB7194"/>
    <w:rsid w:val="00FD79E4"/>
    <w:rsid w:val="00FE289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046B505-8601-4B5A-9E08-77154671D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paragraph" w:styleId="5">
    <w:name w:val="heading 5"/>
    <w:basedOn w:val="a"/>
    <w:next w:val="a"/>
    <w:link w:val="50"/>
    <w:semiHidden/>
    <w:unhideWhenUsed/>
    <w:qFormat/>
    <w:rsid w:val="00C848D9"/>
    <w:pPr>
      <w:keepNext/>
      <w:keepLines/>
      <w:spacing w:before="40"/>
      <w:outlineLvl w:val="4"/>
    </w:pPr>
    <w:rPr>
      <w:rFonts w:asciiTheme="majorHAnsi" w:eastAsiaTheme="majorEastAsia" w:hAnsiTheme="majorHAnsi" w:cstheme="majorBidi"/>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109C6"/>
    <w:rPr>
      <w:color w:val="808080"/>
    </w:rPr>
  </w:style>
  <w:style w:type="character" w:customStyle="1" w:styleId="50">
    <w:name w:val="כותרת 5 תו"/>
    <w:basedOn w:val="a0"/>
    <w:link w:val="5"/>
    <w:semiHidden/>
    <w:rsid w:val="00C848D9"/>
    <w:rPr>
      <w:rFonts w:asciiTheme="majorHAnsi" w:eastAsiaTheme="majorEastAsia" w:hAnsiTheme="majorHAnsi" w:cstheme="majorBidi"/>
      <w:noProof/>
      <w:color w:val="365F91" w:themeColor="accent1" w:themeShade="BF"/>
      <w:sz w:val="24"/>
      <w:szCs w:val="24"/>
    </w:rPr>
  </w:style>
  <w:style w:type="paragraph" w:styleId="ad">
    <w:name w:val="List Paragraph"/>
    <w:basedOn w:val="a"/>
    <w:uiPriority w:val="34"/>
    <w:qFormat/>
    <w:rsid w:val="00C848D9"/>
    <w:pPr>
      <w:spacing w:after="160" w:line="252"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6195698">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C7EB024E988478CBC55EA12A1694B53"/>
        <w:category>
          <w:name w:val="כללי"/>
          <w:gallery w:val="placeholder"/>
        </w:category>
        <w:types>
          <w:type w:val="bbPlcHdr"/>
        </w:types>
        <w:behaviors>
          <w:behavior w:val="content"/>
        </w:behaviors>
        <w:guid w:val="{B61043EE-A640-4974-81B4-F2972A713729}"/>
      </w:docPartPr>
      <w:docPartBody>
        <w:p w:rsidR="00785B86" w:rsidRDefault="00543A6E" w:rsidP="00543A6E">
          <w:pPr>
            <w:pStyle w:val="0C7EB024E988478CBC55EA12A1694B532"/>
          </w:pPr>
          <w:r>
            <w:rPr>
              <w:rFonts w:hint="eastAsia"/>
              <w:b/>
              <w:bCs/>
              <w:noProof w:val="0"/>
              <w:sz w:val="26"/>
              <w:szCs w:val="26"/>
              <w:rtl/>
            </w:rPr>
            <w:t>תאריך</w:t>
          </w:r>
          <w:r>
            <w:rPr>
              <w:b/>
              <w:bCs/>
              <w:noProof w:val="0"/>
              <w:sz w:val="26"/>
              <w:szCs w:val="26"/>
              <w:rtl/>
            </w:rPr>
            <w:t xml:space="preserve"> מתן החלטה לועזי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533B"/>
    <w:rsid w:val="0011467F"/>
    <w:rsid w:val="0046533B"/>
    <w:rsid w:val="00543A6E"/>
    <w:rsid w:val="00764521"/>
    <w:rsid w:val="00785B86"/>
    <w:rsid w:val="00F478C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43A6E"/>
    <w:rPr>
      <w:color w:val="808080"/>
    </w:rPr>
  </w:style>
  <w:style w:type="paragraph" w:customStyle="1" w:styleId="0C7EB024E988478CBC55EA12A1694B53">
    <w:name w:val="0C7EB024E988478CBC55EA12A1694B53"/>
    <w:rsid w:val="00785B86"/>
    <w:pPr>
      <w:bidi/>
      <w:spacing w:after="0" w:line="240" w:lineRule="auto"/>
    </w:pPr>
    <w:rPr>
      <w:rFonts w:ascii="Times New Roman" w:eastAsia="Times New Roman" w:hAnsi="Times New Roman" w:cs="David"/>
      <w:noProof/>
      <w:sz w:val="24"/>
      <w:szCs w:val="24"/>
    </w:rPr>
  </w:style>
  <w:style w:type="paragraph" w:customStyle="1" w:styleId="0C7EB024E988478CBC55EA12A1694B531">
    <w:name w:val="0C7EB024E988478CBC55EA12A1694B531"/>
    <w:rsid w:val="00F478C7"/>
    <w:pPr>
      <w:bidi/>
      <w:spacing w:after="0" w:line="240" w:lineRule="auto"/>
    </w:pPr>
    <w:rPr>
      <w:rFonts w:ascii="Times New Roman" w:eastAsia="Times New Roman" w:hAnsi="Times New Roman" w:cs="David"/>
      <w:noProof/>
      <w:sz w:val="24"/>
      <w:szCs w:val="24"/>
    </w:rPr>
  </w:style>
  <w:style w:type="paragraph" w:customStyle="1" w:styleId="0C7EB024E988478CBC55EA12A1694B532">
    <w:name w:val="0C7EB024E988478CBC55EA12A1694B532"/>
    <w:rsid w:val="00543A6E"/>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81377934</CaseID>
    <CaseJudicialPersonPresentationDS>
      <CaseJudicalPersonActive>
        <CaseID>81377934</CaseID>
        <JudicialPersonID>053515011@GOV.IL</JudicialPersonID>
        <JudicialPersonTypeID>1</JudicialPersonTypeID>
        <JudicialTypeID>1</JudicialTypeID>
        <IsChairman>false</IsChairman>
        <TreatmentStartDate>2024-07-08T12:48:30.26+03:00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משיבים</RoleName>
        <IsSubProceeding>FALSE</IsSubProceeding>
        <FullName>שלמה אייגנר</FullName>
        <FirstName>שלמה</FirstName>
        <LastName>אייגנר</LastName>
        <PartyPropertyName/>
        <AuthenticationTypeAndNumber>מ.ר. 29927</AuthenticationTypeAndNumber>
        <RepresentatedOrRepresentativesNames>יוסף בן עמי, שרולטה שרה הוברט</RepresentatedOrRepresentativesNames>
        <RepresentatedOrRepresentativesCount>2</RepresentatedOrRepresentativesCount>
        <InvitedBy/>
        <CaseID>81377934</CaseID>
        <CaseJudicialPersonPresentationDS>
          <CaseJudicalPersonActive>
            <CaseID>81377934</CaseID>
            <JudicialPersonID>053515011@GOV.IL</JudicialPersonID>
            <JudicialPersonTypeID>1</JudicialPersonTypeID>
            <JudicialTypeID>1</JudicialTypeID>
            <IsChairman>false</IsChairman>
            <TreatmentStartDate>2024-07-08T12:48:30.26+03:00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272470921</CasePartyID>
        <PartyTypeID>2</PartyTypeID>
        <ActivityStatusID>1</ActivityStatusID>
        <PartyAliasID>23</PartyAliasID>
        <PartyAliasName>בא כוח משיבים</PartyAliasName>
        <LegalEntityID>405032</LegalEntityID>
        <CaseLegalEntityID>129576247</CaseLegalEntityID>
        <AuthenticationTypeID>4</AuthenticationTypeID>
        <AuthenticationTypeName>מ.ר.</AuthenticationTypeName>
        <LegalEntityNumber>29927</LegalEntityNumber>
        <IsMainPartyType>true</IsMainPartyType>
        <CaseDisplayIdentifier>19697-07-24</CaseDisplayIdentifier>
        <CaseTypeID>10074</CaseTypeID>
        <CaseTypeName>רשות ערעור משפחה (רמ"ש)</CaseTypeName>
        <CaseName>בורובסקי ואח' נ' הוברט ואח'</CaseName>
        <FullAddress>המעגל 38 קריית אונו </FullAddress>
        <MotionID>0</MotionID>
        <CasePleaID>0</CasePleaID>
        <FatherName xml:space="preserve">        </FatherName>
        <LinkedCaseID>0</LinkedCaseID>
        <PartyID>2</PartyID>
        <CasePartyCategoryID>2</CasePartyCategoryID>
        <LegalEntityAddressID>77300653</LegalEntityAddressID>
        <PleaTypeID>5</PleaTypeID>
        <LawyerOfficeName>משרד עו"ד: שלמה אייגנר</LawyerOfficeName>
        <LawyerOfficeID>445676</LawyerOfficeID>
        <GroupPartyAlias/>
        <IsConverted>false</IsConverted>
        <LegalEntityNameID>26016</LegalEntityNameID>
        <RepresentatedNamesOfAssistant/>
        <LegalEntityTypeID>4</LegalEntityTypeID>
        <IsVerdictExists>false</IsVerdictExists>
        <IsAsirAzir>false</IsAsirAzir>
        <MainAndSecSpec/>
        <IsPublicationProhibited>false</IsPublicationProhibited>
        <PublicationProhibitedFullName>שלמה אייגנר</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יצחק בורובסקי</FullName>
        <FirstName>יצחק</FirstName>
        <LastName>בורובסקי</LastName>
        <PartyPropertyName/>
        <AuthenticationTypeAndNumber>מ.ר. 8081</AuthenticationTypeAndNumber>
        <RepresentatedOrRepresentativesNames>יצחק בורובסקי, קיטי דורינה שיין, מרים הרשקוביץ אמיתי, הדי חנה לנדמן</RepresentatedOrRepresentativesNames>
        <RepresentatedOrRepresentativesCount>4</RepresentatedOrRepresentativesCount>
        <InvitedBy/>
        <CaseID>81377934</CaseID>
        <CaseJudicialPersonPresentationDS>
          <CaseJudicalPersonActive>
            <CaseID>81377934</CaseID>
            <JudicialPersonID>053515011@GOV.IL</JudicialPersonID>
            <JudicialPersonTypeID>1</JudicialPersonTypeID>
            <JudicialTypeID>1</JudicialTypeID>
            <IsChairman>false</IsChairman>
            <TreatmentStartDate>2024-07-08T12:48:30.26+03:00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272463642</CasePartyID>
        <PartyTypeID>2</PartyTypeID>
        <ActivityStatusID>1</ActivityStatusID>
        <PartyAliasID>22</PartyAliasID>
        <PartyAliasName>בא כוח מבקשים</PartyAliasName>
        <OrdinalNumber>1</OrdinalNumber>
        <LegalEntityID>385978</LegalEntityID>
        <CaseLegalEntityID>129574174</CaseLegalEntityID>
        <AuthenticationTypeID>4</AuthenticationTypeID>
        <AuthenticationTypeName>מ.ר.</AuthenticationTypeName>
        <LegalEntityNumber>8081</LegalEntityNumber>
        <IsMainPartyType>true</IsMainPartyType>
        <CaseDisplayIdentifier>19697-07-24</CaseDisplayIdentifier>
        <CaseTypeID>10074</CaseTypeID>
        <CaseTypeName>רשות ערעור משפחה (רמ"ש)</CaseTypeName>
        <CaseName>בורובסקי ואח' נ' הוברט ואח'</CaseName>
        <FullAddress>המלך אבן גבירול 76 תל אביב -יפו קומה 2</FullAddress>
        <MotionID>0</MotionID>
        <CasePleaID>0</CasePleaID>
        <FatherName xml:space="preserve">        </FatherName>
        <LinkedCaseID>0</LinkedCaseID>
        <PartyID>1</PartyID>
        <CasePartyCategoryID>2</CasePartyCategoryID>
        <LegalEntityAddressID>84175343</LegalEntityAddressID>
        <PleaTypeID>5</PleaTypeID>
        <LawyerOfficeName>משרד עו"ד: יצחק בורובסקי</LawyerOfficeName>
        <LawyerOfficeID>426622</LawyerOfficeID>
        <GroupPartyAlias/>
        <IsConverted>false</IsConverted>
        <LegalEntityNameID>6962</LegalEntityNameID>
        <RepresentatedNamesOfAssistant/>
        <LegalEntityTypeID>4</LegalEntityTypeID>
        <IsVerdictExists>false</IsVerdictExists>
        <IsAsirAzir>false</IsAsirAzir>
        <MainAndSecSpec/>
        <IsPublicationProhibited>false</IsPublicationProhibited>
        <PublicationProhibitedFullName>יצחק בורובסקי</PublicationProhibitedFullName>
      </CaseParties>
      <CaseParties>
        <PartyTypeName>צד</PartyTypeName>
        <ProceedingType>כתב טענות עיקרי</ProceedingType>
        <PleaName>כתב בקשה</PleaName>
        <PartyBelonging>צד א'</PartyBelonging>
        <RoleName>מבקש 1 - מבקש</RoleName>
        <IsSubProceeding>FALSE</IsSubProceeding>
        <FullName>יצחק בורובסקי</FullName>
        <FirstName>יצחק</FirstName>
        <LastName>בורובסקי</LastName>
        <PartyPropertyName/>
        <AuthenticationTypeAndNumber>ת"ז 008052383</AuthenticationTypeAndNumber>
        <RepresentatedOrRepresentativesNames>יצחק בורובסקי</RepresentatedOrRepresentativesNames>
        <RepresentatedOrRepresentativesCount>1</RepresentatedOrRepresentativesCount>
        <InvitedBy/>
        <CaseID>81377934</CaseID>
        <CaseJudicialPersonPresentationDS>
          <CaseJudicalPersonActive>
            <CaseID>81377934</CaseID>
            <JudicialPersonID>053515011@GOV.IL</JudicialPersonID>
            <JudicialPersonTypeID>1</JudicialPersonTypeID>
            <JudicialTypeID>1</JudicialTypeID>
            <IsChairman>false</IsChairman>
            <TreatmentStartDate>2024-07-08T12:48:30.26+03:00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272463636</CasePartyID>
        <PartyTypeID>1</PartyTypeID>
        <ActivityStatusID>1</ActivityStatusID>
        <PartyAliasID>3</PartyAliasID>
        <PartyAliasName>מבקש</PartyAliasName>
        <OrdinalNumber>1</OrdinalNumber>
        <LegalEntityID>16564422</LegalEntityID>
        <CaseLegalEntityID>129574168</CaseLegalEntityID>
        <AuthenticationTypeID>1</AuthenticationTypeID>
        <AuthenticationTypeName>ת"ז</AuthenticationTypeName>
        <LegalEntityNumber>008052383</LegalEntityNumber>
        <IsMainPartyType>true</IsMainPartyType>
        <CaseDisplayIdentifier>19697-07-24</CaseDisplayIdentifier>
        <CaseTypeID>10074</CaseTypeID>
        <CaseTypeName>רשות ערעור משפחה (רמ"ש)</CaseTypeName>
        <CaseName>בורובסקי ואח' נ' הוברט ואח'</CaseName>
        <FullAddress/>
        <MotionID>0</MotionID>
        <CasePleaID>0</CasePleaID>
        <FatherName>חנן</FatherName>
        <LinkedCaseID>0</LinkedCaseID>
        <PartyID>1</PartyID>
        <CasePartyCategoryID>2</CasePartyCategoryID>
        <GrandfatherName/>
        <DrivingLicenseNumber>713267</DrivingLicenseNumber>
        <PleaTypeID>5</PleaTypeID>
        <GroupPartyAlias>מבקשים</GroupPartyAlias>
        <IsConverted>false</IsConverted>
        <LegalEntityRegisteredNameID>1932760</LegalEntityRegisteredNameID>
        <LegalEntityNameID>96781098</LegalEntityNameID>
        <RepresentatedNamesOfAssistant/>
        <LegalEntityTypeID>1</LegalEntityTypeID>
        <IsVerdictExists>false</IsVerdictExists>
        <IsAsirAzir>false</IsAsirAzir>
        <MainAndSecSpec/>
        <IsPublicationProhibited>false</IsPublicationProhibited>
        <PublicationProhibitedFullName>יצחק בורובסקי</PublicationProhibitedFullName>
      </CaseParties>
      <CaseParties>
        <PartyTypeName>צד</PartyTypeName>
        <ProceedingType>כתב טענות עיקרי</ProceedingType>
        <PleaName>כתב בקשה</PleaName>
        <PartyBelonging>צד ב'</PartyBelonging>
        <RoleName>משיב 1 - נתבע</RoleName>
        <IsSubProceeding>FALSE</IsSubProceeding>
        <FullName>שרולטה שרה הוברט</FullName>
        <FirstName>שרולטה שרה</FirstName>
        <LastName>הוברט</LastName>
        <PartyPropertyName/>
        <AuthenticationTypeAndNumber>דרכון 15158761</AuthenticationTypeAndNumber>
        <RepresentatedOrRepresentativesNames>שלמה אייגנר</RepresentatedOrRepresentativesNames>
        <RepresentatedOrRepresentativesCount>1</RepresentatedOrRepresentativesCount>
        <InvitedBy/>
        <CaseID>81377934</CaseID>
        <CaseJudicialPersonPresentationDS>
          <CaseJudicalPersonActive>
            <CaseID>81377934</CaseID>
            <JudicialPersonID>053515011@GOV.IL</JudicialPersonID>
            <JudicialPersonTypeID>1</JudicialPersonTypeID>
            <JudicialTypeID>1</JudicialTypeID>
            <IsChairman>false</IsChairman>
            <TreatmentStartDate>2024-07-08T12:48:30.26+03:00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272463640</CasePartyID>
        <PartyTypeID>1</PartyTypeID>
        <ActivityStatusID>1</ActivityStatusID>
        <PartyAliasID>4</PartyAliasID>
        <PartyAliasName>משיב</PartyAliasName>
        <OrdinalNumber>1</OrdinalNumber>
        <LegalEntityID>79034870</LegalEntityID>
        <CaseLegalEntityID>129574172</CaseLegalEntityID>
        <AuthenticationTypeID>2</AuthenticationTypeID>
        <AuthenticationTypeName>דרכון</AuthenticationTypeName>
        <LegalEntityNumber>15158761</LegalEntityNumber>
        <IsMainPartyType>true</IsMainPartyType>
        <CaseDisplayIdentifier>19697-07-24</CaseDisplayIdentifier>
        <CaseTypeID>10074</CaseTypeID>
        <CaseTypeName>רשות ערעור משפחה (רמ"ש)</CaseTypeName>
        <CaseName>בורובסקי ואח' נ' הוברט ואח'</CaseName>
        <FullAddress/>
        <MotionID>0</MotionID>
        <CasePleaID>0</CasePleaID>
        <PassportCountryID>400</PassportCountryID>
        <LinkedCaseID>0</LinkedCaseID>
        <PartyID>2</PartyID>
        <CasePartyCategoryID>2</CasePartyCategoryID>
        <PleaTypeID>5</PleaTypeID>
        <GroupPartyAlias>משיבים</GroupPartyAlias>
        <IsConverted>false</IsConverted>
        <LegalEntityNameID>89779620</LegalEntityNameID>
        <RepresentatedNamesOfAssistant/>
        <LegalEntityTypeID>2</LegalEntityTypeID>
        <IsVerdictExists>false</IsVerdictExists>
        <IsAsirAzir>false</IsAsirAzir>
        <MainAndSecSpec/>
        <IsPublicationProhibited>false</IsPublicationProhibited>
        <PublicationProhibitedFullName>שרולטה שרה הוברט</PublicationProhibitedFullName>
      </CaseParties>
      <CaseParties>
        <PartyTypeName>צד</PartyTypeName>
        <ProceedingType>כתב טענות עיקרי</ProceedingType>
        <PleaName>כתב בקשה</PleaName>
        <PartyBelonging>צד א'</PartyBelonging>
        <RoleName>מבקש 2 - נתבע</RoleName>
        <IsSubProceeding>FALSE</IsSubProceeding>
        <FullName>מרים הרשקוביץ אמיתי</FullName>
        <FirstName>אוה מרים</FirstName>
        <LastName>אמתי</LastName>
        <PartyPropertyName/>
        <AuthenticationTypeAndNumber>ת"ז 041934795</AuthenticationTypeAndNumber>
        <RepresentatedOrRepresentativesNames>יצחק בורובסקי</RepresentatedOrRepresentativesNames>
        <RepresentatedOrRepresentativesCount>1</RepresentatedOrRepresentativesCount>
        <InvitedBy/>
        <CaseID>81377934</CaseID>
        <CaseJudicialPersonPresentationDS>
          <CaseJudicalPersonActive>
            <CaseID>81377934</CaseID>
            <JudicialPersonID>053515011@GOV.IL</JudicialPersonID>
            <JudicialPersonTypeID>1</JudicialPersonTypeID>
            <JudicialTypeID>1</JudicialTypeID>
            <IsChairman>false</IsChairman>
            <TreatmentStartDate>2024-07-08T12:48:30.26+03:00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272463637</CasePartyID>
        <PartyTypeID>1</PartyTypeID>
        <ActivityStatusID>1</ActivityStatusID>
        <PartyAliasID>3</PartyAliasID>
        <PartyAliasName>מבקש</PartyAliasName>
        <OrdinalNumber>2</OrdinalNumber>
        <LegalEntityID>78683337</LegalEntityID>
        <CaseLegalEntityID>129574169</CaseLegalEntityID>
        <AuthenticationTypeID>1</AuthenticationTypeID>
        <AuthenticationTypeName>ת"ז</AuthenticationTypeName>
        <LegalEntityNumber>041934795</LegalEntityNumber>
        <IsMainPartyType>true</IsMainPartyType>
        <CaseDisplayIdentifier>19697-07-24</CaseDisplayIdentifier>
        <CaseTypeID>10074</CaseTypeID>
        <CaseTypeName>רשות ערעור משפחה (רמ"ש)</CaseTypeName>
        <CaseName>בורובסקי ואח' נ' הוברט ואח'</CaseName>
        <FullAddress/>
        <MotionID>0</MotionID>
        <CasePleaID>0</CasePleaID>
        <FatherName>פביאן</FatherName>
        <LinkedCaseID>0</LinkedCaseID>
        <PartyID>1</PartyID>
        <CasePartyCategoryID>2</CasePartyCategoryID>
        <PleaTypeID>5</PleaTypeID>
        <GroupPartyAlias>מבקשים</GroupPartyAlias>
        <IsConverted>false</IsConverted>
        <LegalEntityRegisteredNameID>9159861</LegalEntityRegisteredNameID>
        <LegalEntityNameID>89795442</LegalEntityNameID>
        <RepresentatedNamesOfAssistant/>
        <LegalEntityTypeID>1</LegalEntityTypeID>
        <IsVerdictExists>false</IsVerdictExists>
        <IsAsirAzir>false</IsAsirAzir>
        <MainAndSecSpec/>
        <IsPublicationProhibited>false</IsPublicationProhibited>
        <PublicationProhibitedFullName>מרים הרשקוביץ אמיתי</PublicationProhibitedFullName>
      </CaseParties>
      <CaseParties>
        <PartyTypeName>צד</PartyTypeName>
        <ProceedingType>כתב טענות עיקרי</ProceedingType>
        <PleaName>כתב בקשה</PleaName>
        <PartyBelonging>צד ב'</PartyBelonging>
        <RoleName>משיב 2 - נתבע</RoleName>
        <IsSubProceeding>FALSE</IsSubProceeding>
        <FullName>יוסף בן עמי</FullName>
        <FirstName>יוסף</FirstName>
        <LastName>בן עמי</LastName>
        <PartyPropertyName/>
        <AuthenticationTypeAndNumber>ת"ז 008049942</AuthenticationTypeAndNumber>
        <RepresentatedOrRepresentativesNames>שלמה אייגנר</RepresentatedOrRepresentativesNames>
        <RepresentatedOrRepresentativesCount>1</RepresentatedOrRepresentativesCount>
        <InvitedBy/>
        <CaseID>81377934</CaseID>
        <CaseJudicialPersonPresentationDS>
          <CaseJudicalPersonActive>
            <CaseID>81377934</CaseID>
            <JudicialPersonID>053515011@GOV.IL</JudicialPersonID>
            <JudicialPersonTypeID>1</JudicialPersonTypeID>
            <JudicialTypeID>1</JudicialTypeID>
            <IsChairman>false</IsChairman>
            <TreatmentStartDate>2024-07-08T12:48:30.26+03:00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272463641</CasePartyID>
        <PartyTypeID>1</PartyTypeID>
        <ActivityStatusID>1</ActivityStatusID>
        <PartyAliasID>4</PartyAliasID>
        <PartyAliasName>משיב</PartyAliasName>
        <OrdinalNumber>2</OrdinalNumber>
        <LegalEntityID>8503953</LegalEntityID>
        <CaseLegalEntityID>129574173</CaseLegalEntityID>
        <AuthenticationTypeID>1</AuthenticationTypeID>
        <AuthenticationTypeName>ת"ז</AuthenticationTypeName>
        <LegalEntityNumber>008049942</LegalEntityNumber>
        <IsMainPartyType>true</IsMainPartyType>
        <CaseDisplayIdentifier>19697-07-24</CaseDisplayIdentifier>
        <CaseTypeID>10074</CaseTypeID>
        <CaseTypeName>רשות ערעור משפחה (רמ"ש)</CaseTypeName>
        <CaseName>בורובסקי ואח' נ' הוברט ואח'</CaseName>
        <FullAddress>ליכט 38 אזור </FullAddress>
        <MotionID>0</MotionID>
        <CasePleaID>0</CasePleaID>
        <FatherName>אברהם</FatherName>
        <LinkedCaseID>0</LinkedCaseID>
        <PartyID>2</PartyID>
        <CasePartyCategoryID>2</CasePartyCategoryID>
        <LegalEntityAddressID>84020758</LegalEntityAddressID>
        <PleaTypeID>5</PleaTypeID>
        <GroupPartyAlias>משיבים</GroupPartyAlias>
        <IsConverted>false</IsConverted>
        <LegalEntityRegisteredNameID>2487200</LegalEntityRegisteredNameID>
        <LegalEntityNameID>89779523</LegalEntityNameID>
        <RepresentatedNamesOfAssistant/>
        <LegalEntityTypeID>1</LegalEntityTypeID>
        <IsVerdictExists>false</IsVerdictExists>
        <IsAsirAzir>false</IsAsirAzir>
        <MainAndSecSpec/>
        <IsPublicationProhibited>false</IsPublicationProhibited>
        <PublicationProhibitedFullName>יוסף בן עמי</PublicationProhibitedFullName>
      </CaseParties>
      <CaseParties>
        <PartyTypeName>צד</PartyTypeName>
        <ProceedingType>כתב טענות עיקרי</ProceedingType>
        <PleaName>כתב בקשה</PleaName>
        <PartyBelonging>צד א'</PartyBelonging>
        <RoleName>מבקש 3 - נתבע</RoleName>
        <IsSubProceeding>FALSE</IsSubProceeding>
        <FullName>הדי חנה לנדמן</FullName>
        <FirstName>הדי</FirstName>
        <LastName>לנדמן</LastName>
        <PartyPropertyName/>
        <AuthenticationTypeAndNumber>ת"ז 001224773</AuthenticationTypeAndNumber>
        <RepresentatedOrRepresentativesNames>יצחק בורובסקי</RepresentatedOrRepresentativesNames>
        <RepresentatedOrRepresentativesCount>1</RepresentatedOrRepresentativesCount>
        <InvitedBy/>
        <CaseID>81377934</CaseID>
        <CaseJudicialPersonPresentationDS>
          <CaseJudicalPersonActive>
            <CaseID>81377934</CaseID>
            <JudicialPersonID>053515011@GOV.IL</JudicialPersonID>
            <JudicialPersonTypeID>1</JudicialPersonTypeID>
            <JudicialTypeID>1</JudicialTypeID>
            <IsChairman>false</IsChairman>
            <TreatmentStartDate>2024-07-08T12:48:30.26+03:00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272463638</CasePartyID>
        <PartyTypeID>1</PartyTypeID>
        <ActivityStatusID>1</ActivityStatusID>
        <PartyAliasID>3</PartyAliasID>
        <PartyAliasName>מבקש</PartyAliasName>
        <OrdinalNumber>3</OrdinalNumber>
        <LegalEntityID>78683338</LegalEntityID>
        <CaseLegalEntityID>129574170</CaseLegalEntityID>
        <AuthenticationTypeID>1</AuthenticationTypeID>
        <AuthenticationTypeName>ת"ז</AuthenticationTypeName>
        <LegalEntityNumber>001224773</LegalEntityNumber>
        <IsMainPartyType>true</IsMainPartyType>
        <CaseDisplayIdentifier>19697-07-24</CaseDisplayIdentifier>
        <CaseTypeID>10074</CaseTypeID>
        <CaseTypeName>רשות ערעור משפחה (רמ"ש)</CaseTypeName>
        <CaseName>בורובסקי ואח' נ' הוברט ואח'</CaseName>
        <FullAddress/>
        <MotionID>0</MotionID>
        <CasePleaID>0</CasePleaID>
        <FatherName>יוסף</FatherName>
        <LinkedCaseID>0</LinkedCaseID>
        <PartyID>1</PartyID>
        <CasePartyCategoryID>2</CasePartyCategoryID>
        <PleaTypeID>5</PleaTypeID>
        <GroupPartyAlias>מבקשים</GroupPartyAlias>
        <IsConverted>false</IsConverted>
        <LegalEntityRegisteredNameID>8975081</LegalEntityRegisteredNameID>
        <LegalEntityNameID>89795446</LegalEntityNameID>
        <RepresentatedNamesOfAssistant/>
        <LegalEntityTypeID>1</LegalEntityTypeID>
        <IsVerdictExists>false</IsVerdictExists>
        <IsAsirAzir>false</IsAsirAzir>
        <MainAndSecSpec/>
        <IsPublicationProhibited>false</IsPublicationProhibited>
        <PublicationProhibitedFullName>הדי חנה לנדמן</PublicationProhibitedFullName>
      </CaseParties>
      <CaseParties>
        <PartyTypeName>צד</PartyTypeName>
        <ProceedingType>כתב טענות עיקרי</ProceedingType>
        <PleaName>כתב בקשה</PleaName>
        <PartyBelonging>צד א'</PartyBelonging>
        <RoleName>מבקש 4 - נתבע</RoleName>
        <IsSubProceeding>FALSE</IsSubProceeding>
        <FullName>קיטי דורינה שיין</FullName>
        <FirstName>קיטי</FirstName>
        <LastName>דורינה שיין</LastName>
        <PartyPropertyName/>
        <AuthenticationTypeAndNumber>ת"ז 001224781</AuthenticationTypeAndNumber>
        <RepresentatedOrRepresentativesNames>יצחק בורובסקי</RepresentatedOrRepresentativesNames>
        <RepresentatedOrRepresentativesCount>1</RepresentatedOrRepresentativesCount>
        <InvitedBy/>
        <CaseID>81377934</CaseID>
        <CaseJudicialPersonPresentationDS>
          <CaseJudicalPersonActive>
            <CaseID>81377934</CaseID>
            <JudicialPersonID>053515011@GOV.IL</JudicialPersonID>
            <JudicialPersonTypeID>1</JudicialPersonTypeID>
            <JudicialTypeID>1</JudicialTypeID>
            <IsChairman>false</IsChairman>
            <TreatmentStartDate>2024-07-08T12:48:30.26+03:00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272463639</CasePartyID>
        <PartyTypeID>1</PartyTypeID>
        <ActivityStatusID>1</ActivityStatusID>
        <PartyAliasID>3</PartyAliasID>
        <PartyAliasName>מבקש</PartyAliasName>
        <OrdinalNumber>4</OrdinalNumber>
        <LegalEntityID>78683339</LegalEntityID>
        <CaseLegalEntityID>129574171</CaseLegalEntityID>
        <AuthenticationTypeID>1</AuthenticationTypeID>
        <AuthenticationTypeName>ת"ז</AuthenticationTypeName>
        <LegalEntityNumber>001224781</LegalEntityNumber>
        <IsMainPartyType>true</IsMainPartyType>
        <CaseDisplayIdentifier>19697-07-24</CaseDisplayIdentifier>
        <CaseTypeID>10074</CaseTypeID>
        <CaseTypeName>רשות ערעור משפחה (רמ"ש)</CaseTypeName>
        <CaseName>בורובסקי ואח' נ' הוברט ואח'</CaseName>
        <FullAddress/>
        <MotionID>0</MotionID>
        <CasePleaID>0</CasePleaID>
        <FatherName>יוסף</FatherName>
        <LinkedCaseID>0</LinkedCaseID>
        <PartyID>1</PartyID>
        <CasePartyCategoryID>2</CasePartyCategoryID>
        <PleaTypeID>5</PleaTypeID>
        <GroupPartyAlias>מבקשים</GroupPartyAlias>
        <IsConverted>false</IsConverted>
        <LegalEntityNameID>89795449</LegalEntityNameID>
        <RepresentatedNamesOfAssistant/>
        <LegalEntityTypeID>1</LegalEntityTypeID>
        <IsVerdictExists>false</IsVerdictExists>
        <IsAsirAzir>false</IsAsirAzir>
        <MainAndSecSpec/>
        <IsPublicationProhibited>false</IsPublicationProhibited>
        <PublicationProhibitedFullName>קיטי דורינה שיין</PublicationProhibitedFullName>
      </CaseParties>
    </CasePartiesSelectionDS>
    <DecisionName>פסק דין  שניתנה ע"י  שאול שוחט</DecisionName>
    <CourtDisplayName>בית המשפט המחוזי בתל אביב -יפו</CourtDisplayName>
    <IsCaseJudgePanel>false</IsCaseJudgePanel>
    <DecisionSignatureDate>2024-09-05T16:54:32.7270697+03:00</DecisionSignatureDate>
    <OpenCaseDate>2024-07-08T12:28:00+03:00</OpenCaseDate>
    <CaseFeeSum>0.000</CaseFeeSum>
    <ExternalCaseNumber>283952_3</ExternalCaseNumber>
    <DecisionTypeID>2</DecisionTypeID>
    <DecisionSignatureUserName>שאול שוחט</DecisionSignatureUserName>
    <DecisionSignatureDateHebrew>2024-09-05T16:54:32.7270697+03:00</DecisionSignatureDateHebrew>
    <DecisionWriterID>053515011@GOV.IL</DecisionWriterID>
    <CourtAddress>רח' ויצמן  1 היכל המשפט, תל אביב -יפו 64239</CourtAddress>
    <IsAutoTextInCaseExist>false</IsAutoTextInCaseExist>
    <DecisionSignatureRoleName>שופט</DecisionSignatureRoleName>
    <DecisionSignatureUserTitleName>שופט, סגן הנשיא</DecisionSignatureUserTitleName>
    <CaseName>בורובסקי ואח' נ' הוברט ואח'</CaseName>
    <DecisionNumberInCase>4</DecisionNumberInCase>
  </dt_Decision>
  <dt_DecisionCase>
    <DecisionID>0</DecisionID>
    <CaseID>81377934</CaseID>
    <CaseJudicialPersonPresentationDS>
      <CaseJudicalPersonActive>
        <CaseID>81377934</CaseID>
        <JudicialPersonID>053515011@GOV.IL</JudicialPersonID>
        <JudicialPersonTypeID>1</JudicialPersonTypeID>
        <JudicialTypeID>1</JudicialTypeID>
        <IsChairman>false</IsChairman>
        <TreatmentStartDate>2024-07-08T12:48:30.26+03:00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משיבים</RoleName>
        <IsSubProceeding>FALSE</IsSubProceeding>
        <FullName>שלמה אייגנר</FullName>
        <FirstName>שלמה</FirstName>
        <LastName>אייגנר</LastName>
        <PartyPropertyName/>
        <AuthenticationTypeAndNumber>מ.ר. 29927</AuthenticationTypeAndNumber>
        <RepresentatedOrRepresentativesNames>יוסף בן עמי, שרולטה שרה הוברט</RepresentatedOrRepresentativesNames>
        <RepresentatedOrRepresentativesCount>2</RepresentatedOrRepresentativesCount>
        <InvitedBy/>
        <CaseID>81377934</CaseID>
        <CaseJudicialPersonPresentationDS>
          <CaseJudicalPersonActive>
            <CaseID>81377934</CaseID>
            <JudicialPersonID>053515011@GOV.IL</JudicialPersonID>
            <JudicialPersonTypeID>1</JudicialPersonTypeID>
            <JudicialTypeID>1</JudicialTypeID>
            <IsChairman>false</IsChairman>
            <TreatmentStartDate>2024-07-08T12:48:30.26+03:00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272470921</CasePartyID>
        <PartyTypeID>2</PartyTypeID>
        <ActivityStatusID>1</ActivityStatusID>
        <PartyAliasID>23</PartyAliasID>
        <PartyAliasName>בא כוח משיבים</PartyAliasName>
        <LegalEntityID>405032</LegalEntityID>
        <CaseLegalEntityID>129576247</CaseLegalEntityID>
        <AuthenticationTypeID>4</AuthenticationTypeID>
        <AuthenticationTypeName>מ.ר.</AuthenticationTypeName>
        <LegalEntityNumber>29927</LegalEntityNumber>
        <IsMainPartyType>true</IsMainPartyType>
        <CaseDisplayIdentifier>19697-07-24</CaseDisplayIdentifier>
        <CaseTypeID>10074</CaseTypeID>
        <CaseTypeName>רשות ערעור משפחה (רמ"ש)</CaseTypeName>
        <CaseName>בורובסקי ואח' נ' הוברט ואח'</CaseName>
        <FullAddress>המעגל 38 קריית אונו </FullAddress>
        <MotionID>0</MotionID>
        <CasePleaID>0</CasePleaID>
        <FatherName xml:space="preserve">        </FatherName>
        <LinkedCaseID>0</LinkedCaseID>
        <PartyID>2</PartyID>
        <CasePartyCategoryID>2</CasePartyCategoryID>
        <LegalEntityAddressID>77300653</LegalEntityAddressID>
        <PleaTypeID>5</PleaTypeID>
        <LawyerOfficeName>משרד עו"ד: שלמה אייגנר</LawyerOfficeName>
        <LawyerOfficeID>445676</LawyerOfficeID>
        <GroupPartyAlias/>
        <IsConverted>false</IsConverted>
        <LegalEntityNameID>26016</LegalEntityNameID>
        <RepresentatedNamesOfAssistant/>
        <LegalEntityTypeID>4</LegalEntityTypeID>
        <IsVerdictExists>false</IsVerdictExists>
        <IsAsirAzir>false</IsAsirAzir>
        <MainAndSecSpec/>
        <IsPublicationProhibited>false</IsPublicationProhibited>
        <PublicationProhibitedFullName>שלמה אייגנר</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יצחק בורובסקי</FullName>
        <FirstName>יצחק</FirstName>
        <LastName>בורובסקי</LastName>
        <PartyPropertyName/>
        <AuthenticationTypeAndNumber>מ.ר. 8081</AuthenticationTypeAndNumber>
        <RepresentatedOrRepresentativesNames>יצחק בורובסקי, קיטי דורינה שיין, מרים הרשקוביץ אמיתי, הדי חנה לנדמן</RepresentatedOrRepresentativesNames>
        <RepresentatedOrRepresentativesCount>4</RepresentatedOrRepresentativesCount>
        <InvitedBy/>
        <CaseID>81377934</CaseID>
        <CaseJudicialPersonPresentationDS>
          <CaseJudicalPersonActive>
            <CaseID>81377934</CaseID>
            <JudicialPersonID>053515011@GOV.IL</JudicialPersonID>
            <JudicialPersonTypeID>1</JudicialPersonTypeID>
            <JudicialTypeID>1</JudicialTypeID>
            <IsChairman>false</IsChairman>
            <TreatmentStartDate>2024-07-08T12:48:30.26+03:00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272463642</CasePartyID>
        <PartyTypeID>2</PartyTypeID>
        <ActivityStatusID>1</ActivityStatusID>
        <PartyAliasID>22</PartyAliasID>
        <PartyAliasName>בא כוח מבקשים</PartyAliasName>
        <OrdinalNumber>1</OrdinalNumber>
        <LegalEntityID>385978</LegalEntityID>
        <CaseLegalEntityID>129574174</CaseLegalEntityID>
        <AuthenticationTypeID>4</AuthenticationTypeID>
        <AuthenticationTypeName>מ.ר.</AuthenticationTypeName>
        <LegalEntityNumber>8081</LegalEntityNumber>
        <IsMainPartyType>true</IsMainPartyType>
        <CaseDisplayIdentifier>19697-07-24</CaseDisplayIdentifier>
        <CaseTypeID>10074</CaseTypeID>
        <CaseTypeName>רשות ערעור משפחה (רמ"ש)</CaseTypeName>
        <CaseName>בורובסקי ואח' נ' הוברט ואח'</CaseName>
        <FullAddress>המלך אבן גבירול 76 תל אביב -יפו קומה 2</FullAddress>
        <MotionID>0</MotionID>
        <CasePleaID>0</CasePleaID>
        <FatherName xml:space="preserve">        </FatherName>
        <LinkedCaseID>0</LinkedCaseID>
        <PartyID>1</PartyID>
        <CasePartyCategoryID>2</CasePartyCategoryID>
        <LegalEntityAddressID>84175343</LegalEntityAddressID>
        <PleaTypeID>5</PleaTypeID>
        <LawyerOfficeName>משרד עו"ד: יצחק בורובסקי</LawyerOfficeName>
        <LawyerOfficeID>426622</LawyerOfficeID>
        <GroupPartyAlias/>
        <IsConverted>false</IsConverted>
        <LegalEntityNameID>6962</LegalEntityNameID>
        <RepresentatedNamesOfAssistant/>
        <LegalEntityTypeID>4</LegalEntityTypeID>
        <IsVerdictExists>false</IsVerdictExists>
        <IsAsirAzir>false</IsAsirAzir>
        <MainAndSecSpec/>
        <IsPublicationProhibited>false</IsPublicationProhibited>
        <PublicationProhibitedFullName>יצחק בורובסקי</PublicationProhibitedFullName>
      </CaseParties>
      <CaseParties>
        <PartyTypeName>צד</PartyTypeName>
        <ProceedingType>כתב טענות עיקרי</ProceedingType>
        <PleaName>כתב בקשה</PleaName>
        <PartyBelonging>צד א'</PartyBelonging>
        <RoleName>מבקש 1 - מבקש</RoleName>
        <IsSubProceeding>FALSE</IsSubProceeding>
        <FullName>יצחק בורובסקי</FullName>
        <FirstName>יצחק</FirstName>
        <LastName>בורובסקי</LastName>
        <PartyPropertyName/>
        <AuthenticationTypeAndNumber>ת"ז 008052383</AuthenticationTypeAndNumber>
        <RepresentatedOrRepresentativesNames>יצחק בורובסקי</RepresentatedOrRepresentativesNames>
        <RepresentatedOrRepresentativesCount>1</RepresentatedOrRepresentativesCount>
        <InvitedBy/>
        <CaseID>81377934</CaseID>
        <CaseJudicialPersonPresentationDS>
          <CaseJudicalPersonActive>
            <CaseID>81377934</CaseID>
            <JudicialPersonID>053515011@GOV.IL</JudicialPersonID>
            <JudicialPersonTypeID>1</JudicialPersonTypeID>
            <JudicialTypeID>1</JudicialTypeID>
            <IsChairman>false</IsChairman>
            <TreatmentStartDate>2024-07-08T12:48:30.26+03:00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272463636</CasePartyID>
        <PartyTypeID>1</PartyTypeID>
        <ActivityStatusID>1</ActivityStatusID>
        <PartyAliasID>3</PartyAliasID>
        <PartyAliasName>מבקש</PartyAliasName>
        <OrdinalNumber>1</OrdinalNumber>
        <LegalEntityID>16564422</LegalEntityID>
        <CaseLegalEntityID>129574168</CaseLegalEntityID>
        <AuthenticationTypeID>1</AuthenticationTypeID>
        <AuthenticationTypeName>ת"ז</AuthenticationTypeName>
        <LegalEntityNumber>008052383</LegalEntityNumber>
        <IsMainPartyType>true</IsMainPartyType>
        <CaseDisplayIdentifier>19697-07-24</CaseDisplayIdentifier>
        <CaseTypeID>10074</CaseTypeID>
        <CaseTypeName>רשות ערעור משפחה (רמ"ש)</CaseTypeName>
        <CaseName>בורובסקי ואח' נ' הוברט ואח'</CaseName>
        <FullAddress/>
        <MotionID>0</MotionID>
        <CasePleaID>0</CasePleaID>
        <FatherName>חנן</FatherName>
        <LinkedCaseID>0</LinkedCaseID>
        <PartyID>1</PartyID>
        <CasePartyCategoryID>2</CasePartyCategoryID>
        <GrandfatherName/>
        <DrivingLicenseNumber>713267</DrivingLicenseNumber>
        <PleaTypeID>5</PleaTypeID>
        <GroupPartyAlias>מבקשים</GroupPartyAlias>
        <IsConverted>false</IsConverted>
        <LegalEntityRegisteredNameID>1932760</LegalEntityRegisteredNameID>
        <LegalEntityNameID>96781098</LegalEntityNameID>
        <RepresentatedNamesOfAssistant/>
        <LegalEntityTypeID>1</LegalEntityTypeID>
        <IsVerdictExists>false</IsVerdictExists>
        <IsAsirAzir>false</IsAsirAzir>
        <MainAndSecSpec/>
        <IsPublicationProhibited>false</IsPublicationProhibited>
        <PublicationProhibitedFullName>יצחק בורובסקי</PublicationProhibitedFullName>
      </CaseParties>
      <CaseParties>
        <PartyTypeName>צד</PartyTypeName>
        <ProceedingType>כתב טענות עיקרי</ProceedingType>
        <PleaName>כתב בקשה</PleaName>
        <PartyBelonging>צד ב'</PartyBelonging>
        <RoleName>משיב 1 - נתבע</RoleName>
        <IsSubProceeding>FALSE</IsSubProceeding>
        <FullName>שרולטה שרה הוברט</FullName>
        <FirstName>שרולטה שרה</FirstName>
        <LastName>הוברט</LastName>
        <PartyPropertyName/>
        <AuthenticationTypeAndNumber>דרכון 15158761</AuthenticationTypeAndNumber>
        <RepresentatedOrRepresentativesNames>שלמה אייגנר</RepresentatedOrRepresentativesNames>
        <RepresentatedOrRepresentativesCount>1</RepresentatedOrRepresentativesCount>
        <InvitedBy/>
        <CaseID>81377934</CaseID>
        <CaseJudicialPersonPresentationDS>
          <CaseJudicalPersonActive>
            <CaseID>81377934</CaseID>
            <JudicialPersonID>053515011@GOV.IL</JudicialPersonID>
            <JudicialPersonTypeID>1</JudicialPersonTypeID>
            <JudicialTypeID>1</JudicialTypeID>
            <IsChairman>false</IsChairman>
            <TreatmentStartDate>2024-07-08T12:48:30.26+03:00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272463640</CasePartyID>
        <PartyTypeID>1</PartyTypeID>
        <ActivityStatusID>1</ActivityStatusID>
        <PartyAliasID>4</PartyAliasID>
        <PartyAliasName>משיב</PartyAliasName>
        <OrdinalNumber>1</OrdinalNumber>
        <LegalEntityID>79034870</LegalEntityID>
        <CaseLegalEntityID>129574172</CaseLegalEntityID>
        <AuthenticationTypeID>2</AuthenticationTypeID>
        <AuthenticationTypeName>דרכון</AuthenticationTypeName>
        <LegalEntityNumber>15158761</LegalEntityNumber>
        <IsMainPartyType>true</IsMainPartyType>
        <CaseDisplayIdentifier>19697-07-24</CaseDisplayIdentifier>
        <CaseTypeID>10074</CaseTypeID>
        <CaseTypeName>רשות ערעור משפחה (רמ"ש)</CaseTypeName>
        <CaseName>בורובסקי ואח' נ' הוברט ואח'</CaseName>
        <FullAddress/>
        <MotionID>0</MotionID>
        <CasePleaID>0</CasePleaID>
        <PassportCountryID>400</PassportCountryID>
        <LinkedCaseID>0</LinkedCaseID>
        <PartyID>2</PartyID>
        <CasePartyCategoryID>2</CasePartyCategoryID>
        <PleaTypeID>5</PleaTypeID>
        <GroupPartyAlias>משיבים</GroupPartyAlias>
        <IsConverted>false</IsConverted>
        <LegalEntityNameID>89779620</LegalEntityNameID>
        <RepresentatedNamesOfAssistant/>
        <LegalEntityTypeID>2</LegalEntityTypeID>
        <IsVerdictExists>false</IsVerdictExists>
        <IsAsirAzir>false</IsAsirAzir>
        <MainAndSecSpec/>
        <IsPublicationProhibited>false</IsPublicationProhibited>
        <PublicationProhibitedFullName>שרולטה שרה הוברט</PublicationProhibitedFullName>
      </CaseParties>
      <CaseParties>
        <PartyTypeName>צד</PartyTypeName>
        <ProceedingType>כתב טענות עיקרי</ProceedingType>
        <PleaName>כתב בקשה</PleaName>
        <PartyBelonging>צד א'</PartyBelonging>
        <RoleName>מבקש 2 - נתבע</RoleName>
        <IsSubProceeding>FALSE</IsSubProceeding>
        <FullName>מרים הרשקוביץ אמיתי</FullName>
        <FirstName>אוה מרים</FirstName>
        <LastName>אמתי</LastName>
        <PartyPropertyName/>
        <AuthenticationTypeAndNumber>ת"ז 041934795</AuthenticationTypeAndNumber>
        <RepresentatedOrRepresentativesNames>יצחק בורובסקי</RepresentatedOrRepresentativesNames>
        <RepresentatedOrRepresentativesCount>1</RepresentatedOrRepresentativesCount>
        <InvitedBy/>
        <CaseID>81377934</CaseID>
        <CaseJudicialPersonPresentationDS>
          <CaseJudicalPersonActive>
            <CaseID>81377934</CaseID>
            <JudicialPersonID>053515011@GOV.IL</JudicialPersonID>
            <JudicialPersonTypeID>1</JudicialPersonTypeID>
            <JudicialTypeID>1</JudicialTypeID>
            <IsChairman>false</IsChairman>
            <TreatmentStartDate>2024-07-08T12:48:30.26+03:00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272463637</CasePartyID>
        <PartyTypeID>1</PartyTypeID>
        <ActivityStatusID>1</ActivityStatusID>
        <PartyAliasID>3</PartyAliasID>
        <PartyAliasName>מבקש</PartyAliasName>
        <OrdinalNumber>2</OrdinalNumber>
        <LegalEntityID>78683337</LegalEntityID>
        <CaseLegalEntityID>129574169</CaseLegalEntityID>
        <AuthenticationTypeID>1</AuthenticationTypeID>
        <AuthenticationTypeName>ת"ז</AuthenticationTypeName>
        <LegalEntityNumber>041934795</LegalEntityNumber>
        <IsMainPartyType>true</IsMainPartyType>
        <CaseDisplayIdentifier>19697-07-24</CaseDisplayIdentifier>
        <CaseTypeID>10074</CaseTypeID>
        <CaseTypeName>רשות ערעור משפחה (רמ"ש)</CaseTypeName>
        <CaseName>בורובסקי ואח' נ' הוברט ואח'</CaseName>
        <FullAddress/>
        <MotionID>0</MotionID>
        <CasePleaID>0</CasePleaID>
        <FatherName>פביאן</FatherName>
        <LinkedCaseID>0</LinkedCaseID>
        <PartyID>1</PartyID>
        <CasePartyCategoryID>2</CasePartyCategoryID>
        <PleaTypeID>5</PleaTypeID>
        <GroupPartyAlias>מבקשים</GroupPartyAlias>
        <IsConverted>false</IsConverted>
        <LegalEntityRegisteredNameID>9159861</LegalEntityRegisteredNameID>
        <LegalEntityNameID>89795442</LegalEntityNameID>
        <RepresentatedNamesOfAssistant/>
        <LegalEntityTypeID>1</LegalEntityTypeID>
        <IsVerdictExists>false</IsVerdictExists>
        <IsAsirAzir>false</IsAsirAzir>
        <MainAndSecSpec/>
        <IsPublicationProhibited>false</IsPublicationProhibited>
        <PublicationProhibitedFullName>מרים הרשקוביץ אמיתי</PublicationProhibitedFullName>
      </CaseParties>
      <CaseParties>
        <PartyTypeName>צד</PartyTypeName>
        <ProceedingType>כתב טענות עיקרי</ProceedingType>
        <PleaName>כתב בקשה</PleaName>
        <PartyBelonging>צד ב'</PartyBelonging>
        <RoleName>משיב 2 - נתבע</RoleName>
        <IsSubProceeding>FALSE</IsSubProceeding>
        <FullName>יוסף בן עמי</FullName>
        <FirstName>יוסף</FirstName>
        <LastName>בן עמי</LastName>
        <PartyPropertyName/>
        <AuthenticationTypeAndNumber>ת"ז 008049942</AuthenticationTypeAndNumber>
        <RepresentatedOrRepresentativesNames>שלמה אייגנר</RepresentatedOrRepresentativesNames>
        <RepresentatedOrRepresentativesCount>1</RepresentatedOrRepresentativesCount>
        <InvitedBy/>
        <CaseID>81377934</CaseID>
        <CaseJudicialPersonPresentationDS>
          <CaseJudicalPersonActive>
            <CaseID>81377934</CaseID>
            <JudicialPersonID>053515011@GOV.IL</JudicialPersonID>
            <JudicialPersonTypeID>1</JudicialPersonTypeID>
            <JudicialTypeID>1</JudicialTypeID>
            <IsChairman>false</IsChairman>
            <TreatmentStartDate>2024-07-08T12:48:30.26+03:00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272463641</CasePartyID>
        <PartyTypeID>1</PartyTypeID>
        <ActivityStatusID>1</ActivityStatusID>
        <PartyAliasID>4</PartyAliasID>
        <PartyAliasName>משיב</PartyAliasName>
        <OrdinalNumber>2</OrdinalNumber>
        <LegalEntityID>8503953</LegalEntityID>
        <CaseLegalEntityID>129574173</CaseLegalEntityID>
        <AuthenticationTypeID>1</AuthenticationTypeID>
        <AuthenticationTypeName>ת"ז</AuthenticationTypeName>
        <LegalEntityNumber>008049942</LegalEntityNumber>
        <IsMainPartyType>true</IsMainPartyType>
        <CaseDisplayIdentifier>19697-07-24</CaseDisplayIdentifier>
        <CaseTypeID>10074</CaseTypeID>
        <CaseTypeName>רשות ערעור משפחה (רמ"ש)</CaseTypeName>
        <CaseName>בורובסקי ואח' נ' הוברט ואח'</CaseName>
        <FullAddress>ליכט 38 אזור </FullAddress>
        <MotionID>0</MotionID>
        <CasePleaID>0</CasePleaID>
        <FatherName>אברהם</FatherName>
        <LinkedCaseID>0</LinkedCaseID>
        <PartyID>2</PartyID>
        <CasePartyCategoryID>2</CasePartyCategoryID>
        <LegalEntityAddressID>84020758</LegalEntityAddressID>
        <PleaTypeID>5</PleaTypeID>
        <GroupPartyAlias>משיבים</GroupPartyAlias>
        <IsConverted>false</IsConverted>
        <LegalEntityRegisteredNameID>2487200</LegalEntityRegisteredNameID>
        <LegalEntityNameID>89779523</LegalEntityNameID>
        <RepresentatedNamesOfAssistant/>
        <LegalEntityTypeID>1</LegalEntityTypeID>
        <IsVerdictExists>false</IsVerdictExists>
        <IsAsirAzir>false</IsAsirAzir>
        <MainAndSecSpec/>
        <IsPublicationProhibited>false</IsPublicationProhibited>
        <PublicationProhibitedFullName>יוסף בן עמי</PublicationProhibitedFullName>
      </CaseParties>
      <CaseParties>
        <PartyTypeName>צד</PartyTypeName>
        <ProceedingType>כתב טענות עיקרי</ProceedingType>
        <PleaName>כתב בקשה</PleaName>
        <PartyBelonging>צד א'</PartyBelonging>
        <RoleName>מבקש 3 - נתבע</RoleName>
        <IsSubProceeding>FALSE</IsSubProceeding>
        <FullName>הדי חנה לנדמן</FullName>
        <FirstName>הדי</FirstName>
        <LastName>לנדמן</LastName>
        <PartyPropertyName/>
        <AuthenticationTypeAndNumber>ת"ז 001224773</AuthenticationTypeAndNumber>
        <RepresentatedOrRepresentativesNames>יצחק בורובסקי</RepresentatedOrRepresentativesNames>
        <RepresentatedOrRepresentativesCount>1</RepresentatedOrRepresentativesCount>
        <InvitedBy/>
        <CaseID>81377934</CaseID>
        <CaseJudicialPersonPresentationDS>
          <CaseJudicalPersonActive>
            <CaseID>81377934</CaseID>
            <JudicialPersonID>053515011@GOV.IL</JudicialPersonID>
            <JudicialPersonTypeID>1</JudicialPersonTypeID>
            <JudicialTypeID>1</JudicialTypeID>
            <IsChairman>false</IsChairman>
            <TreatmentStartDate>2024-07-08T12:48:30.26+03:00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272463638</CasePartyID>
        <PartyTypeID>1</PartyTypeID>
        <ActivityStatusID>1</ActivityStatusID>
        <PartyAliasID>3</PartyAliasID>
        <PartyAliasName>מבקש</PartyAliasName>
        <OrdinalNumber>3</OrdinalNumber>
        <LegalEntityID>78683338</LegalEntityID>
        <CaseLegalEntityID>129574170</CaseLegalEntityID>
        <AuthenticationTypeID>1</AuthenticationTypeID>
        <AuthenticationTypeName>ת"ז</AuthenticationTypeName>
        <LegalEntityNumber>001224773</LegalEntityNumber>
        <IsMainPartyType>true</IsMainPartyType>
        <CaseDisplayIdentifier>19697-07-24</CaseDisplayIdentifier>
        <CaseTypeID>10074</CaseTypeID>
        <CaseTypeName>רשות ערעור משפחה (רמ"ש)</CaseTypeName>
        <CaseName>בורובסקי ואח' נ' הוברט ואח'</CaseName>
        <FullAddress/>
        <MotionID>0</MotionID>
        <CasePleaID>0</CasePleaID>
        <FatherName>יוסף</FatherName>
        <LinkedCaseID>0</LinkedCaseID>
        <PartyID>1</PartyID>
        <CasePartyCategoryID>2</CasePartyCategoryID>
        <PleaTypeID>5</PleaTypeID>
        <GroupPartyAlias>מבקשים</GroupPartyAlias>
        <IsConverted>false</IsConverted>
        <LegalEntityRegisteredNameID>8975081</LegalEntityRegisteredNameID>
        <LegalEntityNameID>89795446</LegalEntityNameID>
        <RepresentatedNamesOfAssistant/>
        <LegalEntityTypeID>1</LegalEntityTypeID>
        <IsVerdictExists>false</IsVerdictExists>
        <IsAsirAzir>false</IsAsirAzir>
        <MainAndSecSpec/>
        <IsPublicationProhibited>false</IsPublicationProhibited>
        <PublicationProhibitedFullName>הדי חנה לנדמן</PublicationProhibitedFullName>
      </CaseParties>
      <CaseParties>
        <PartyTypeName>צד</PartyTypeName>
        <ProceedingType>כתב טענות עיקרי</ProceedingType>
        <PleaName>כתב בקשה</PleaName>
        <PartyBelonging>צד א'</PartyBelonging>
        <RoleName>מבקש 4 - נתבע</RoleName>
        <IsSubProceeding>FALSE</IsSubProceeding>
        <FullName>קיטי דורינה שיין</FullName>
        <FirstName>קיטי</FirstName>
        <LastName>דורינה שיין</LastName>
        <PartyPropertyName/>
        <AuthenticationTypeAndNumber>ת"ז 001224781</AuthenticationTypeAndNumber>
        <RepresentatedOrRepresentativesNames>יצחק בורובסקי</RepresentatedOrRepresentativesNames>
        <RepresentatedOrRepresentativesCount>1</RepresentatedOrRepresentativesCount>
        <InvitedBy/>
        <CaseID>81377934</CaseID>
        <CaseJudicialPersonPresentationDS>
          <CaseJudicalPersonActive>
            <CaseID>81377934</CaseID>
            <JudicialPersonID>053515011@GOV.IL</JudicialPersonID>
            <JudicialPersonTypeID>1</JudicialPersonTypeID>
            <JudicialTypeID>1</JudicialTypeID>
            <IsChairman>false</IsChairman>
            <TreatmentStartDate>2024-07-08T12:48:30.26+03:00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272463639</CasePartyID>
        <PartyTypeID>1</PartyTypeID>
        <ActivityStatusID>1</ActivityStatusID>
        <PartyAliasID>3</PartyAliasID>
        <PartyAliasName>מבקש</PartyAliasName>
        <OrdinalNumber>4</OrdinalNumber>
        <LegalEntityID>78683339</LegalEntityID>
        <CaseLegalEntityID>129574171</CaseLegalEntityID>
        <AuthenticationTypeID>1</AuthenticationTypeID>
        <AuthenticationTypeName>ת"ז</AuthenticationTypeName>
        <LegalEntityNumber>001224781</LegalEntityNumber>
        <IsMainPartyType>true</IsMainPartyType>
        <CaseDisplayIdentifier>19697-07-24</CaseDisplayIdentifier>
        <CaseTypeID>10074</CaseTypeID>
        <CaseTypeName>רשות ערעור משפחה (רמ"ש)</CaseTypeName>
        <CaseName>בורובסקי ואח' נ' הוברט ואח'</CaseName>
        <FullAddress/>
        <MotionID>0</MotionID>
        <CasePleaID>0</CasePleaID>
        <FatherName>יוסף</FatherName>
        <LinkedCaseID>0</LinkedCaseID>
        <PartyID>1</PartyID>
        <CasePartyCategoryID>2</CasePartyCategoryID>
        <PleaTypeID>5</PleaTypeID>
        <GroupPartyAlias>מבקשים</GroupPartyAlias>
        <IsConverted>false</IsConverted>
        <LegalEntityNameID>89795449</LegalEntityNameID>
        <RepresentatedNamesOfAssistant/>
        <LegalEntityTypeID>1</LegalEntityTypeID>
        <IsVerdictExists>false</IsVerdictExists>
        <IsAsirAzir>false</IsAsirAzir>
        <MainAndSecSpec/>
        <IsPublicationProhibited>false</IsPublicationProhibited>
        <PublicationProhibitedFullName>קיטי דורינה שיין</PublicationProhibitedFullName>
      </CaseParties>
    </CasePartiesSelectionDS>
    <CaseName>בורובסקי ואח' נ' הוברט ואח'</CaseName>
    <CaseDisplayIdentifier>19697-07-24</CaseDisplayIdentifier>
    <CaseInterestID>101</CaseInterestID>
    <CaseTypeShortName>רמ"ש</CaseTypeShortName>
  </dt_DecisionCase>
  <dt_DecisionJudgePanel>
    <JudgeID>053515011@GOV.IL</JudgeID>
    <DisplayName>שאול שוחט</DisplayName>
    <RoleName>שופט</RoleName>
    <UserTitleName>שופט, סגן הנשיא</UserTitleName>
  </dt_DecisionJudgePanel>
  <dt_LegalEntityDetails>
    <Fax>03-5343525</Fax>
    <Phone>03-5344064</Phone>
    <PartyID>2</PartyID>
    <PartyTypeID>2</PartyTypeID>
    <DecisionID>0</DecisionID>
    <StreetName>המעגל 38</StreetName>
    <ZipCode>55402</ZipCode>
    <CityName>קריית אונו</CityName>
    <FullName>שלמה אייגנר</FullName>
    <IsPublicationProhibited>false</IsPublicationProhibited>
  </dt_LegalEntityDetails>
  <dt_LegalEntityDetails>
    <PartyID>1</PartyID>
    <PartyTypeID>1</PartyTypeID>
    <DecisionID>0</DecisionID>
    <FullName>יצחק בורובסקי</FullName>
    <IsPublicationProhibited>false</IsPublicationProhibited>
  </dt_LegalEntityDetails>
  <dt_LegalEntityDetails>
    <PartyID>2</PartyID>
    <PartyTypeID>1</PartyTypeID>
    <DecisionID>0</DecisionID>
    <FullName>שרולטה שרה  הוברט </FullName>
    <IsPublicationProhibited>false</IsPublicationProhibited>
  </dt_LegalEntityDetails>
  <dt_LegalEntityDetails>
    <Fax>03-6032281</Fax>
    <Phone>03-6092152</Phone>
    <AddressDesc>קומה 2</AddressDesc>
    <PartyID>1</PartyID>
    <PartyTypeID>2</PartyTypeID>
    <DecisionID>0</DecisionID>
    <StreetName>המלך אבן גבירול 76</StreetName>
    <ZipCode>6416204</ZipCode>
    <CityName>תל אביב -יפו</CityName>
    <FullName>יצחק בורובסקי</FullName>
    <Email>yitzchak1010@gmail.com</Email>
    <IsPublicationProhibited>false</IsPublicationProhibited>
  </dt_LegalEntityDetails>
  <dt_LegalEntityDetails>
    <PartyID>1</PartyID>
    <PartyTypeID>1</PartyTypeID>
    <DecisionID>0</DecisionID>
    <FullName>מרים הרשקוביץ אמיתי</FullName>
    <IsPublicationProhibited>false</IsPublicationProhibited>
  </dt_LegalEntityDetails>
  <dt_LegalEntityDetails>
    <PartyID>2</PartyID>
    <PartyTypeID>1</PartyTypeID>
    <DecisionID>0</DecisionID>
    <StreetName>ליכט 38 </StreetName>
    <CityName>אזור</CityName>
    <FullName>יוסף בן עמי</FullName>
    <IsPublicationProhibited>false</IsPublicationProhibited>
  </dt_LegalEntityDetails>
  <dt_LegalEntityDetails>
    <PartyID>1</PartyID>
    <PartyTypeID>1</PartyTypeID>
    <DecisionID>0</DecisionID>
    <FullName>הדי חנה לנדמן</FullName>
    <IsPublicationProhibited>false</IsPublicationProhibited>
  </dt_LegalEntityDetails>
  <dt_LegalEntityDetails>
    <PartyID>1</PartyID>
    <PartyTypeID>1</PartyTypeID>
    <DecisionID>0</DecisionID>
    <FullName>קיטי דורינה שיין</FullName>
    <IsPublicationProhibited>false</IsPublicationProhibited>
  </dt_LegalEntityDetails>
  <dt_CaseJudicalPersonActive>
    <CaseJudicalPerson>שופט, סגן הנשיא שאול שוחט</CaseJudicalPerson>
  </dt_CaseJudicalPersonActive>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969142-F773-44A2-95E4-A36D651D9397}">
  <ds:schemaRefs/>
</ds:datastoreItem>
</file>

<file path=customXml/itemProps2.xml><?xml version="1.0" encoding="utf-8"?>
<ds:datastoreItem xmlns:ds="http://schemas.openxmlformats.org/officeDocument/2006/customXml" ds:itemID="{D9B8158A-6C8C-4403-B9B8-E921B65234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2861</Words>
  <Characters>14309</Characters>
  <Application>Microsoft Office Word</Application>
  <DocSecurity>0</DocSecurity>
  <Lines>119</Lines>
  <Paragraphs>34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17136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2024-09-10T06:42:00Z</dcterms:created>
  <dcterms:modified xsi:type="dcterms:W3CDTF">2024-09-10T06:42:00Z</dcterms:modified>
</cp:coreProperties>
</file>